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5DABCC4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FE7D3B">
        <w:rPr>
          <w:rFonts w:ascii="Arial" w:hAnsi="Arial" w:cs="Arial"/>
          <w:b/>
          <w:bCs/>
          <w:sz w:val="22"/>
          <w:szCs w:val="22"/>
          <w:lang w:val="pt"/>
        </w:rPr>
        <w:t>2</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772046">
        <w:rPr>
          <w:rFonts w:ascii="Arial" w:hAnsi="Arial" w:cs="Arial"/>
          <w:b/>
          <w:bCs/>
          <w:sz w:val="22"/>
          <w:szCs w:val="22"/>
          <w:lang w:val="pt"/>
        </w:rPr>
        <w:t>25</w:t>
      </w:r>
    </w:p>
    <w:p w14:paraId="5C59528B" w14:textId="5FEEF553" w:rsidR="00F76C02"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FE7D3B">
        <w:rPr>
          <w:rFonts w:ascii="Arial" w:hAnsi="Arial" w:cs="Arial"/>
          <w:b/>
          <w:bCs/>
          <w:sz w:val="22"/>
          <w:szCs w:val="22"/>
          <w:lang w:val="pt"/>
        </w:rPr>
        <w:t>2</w:t>
      </w:r>
      <w:r w:rsidR="00772046">
        <w:rPr>
          <w:rFonts w:ascii="Arial" w:hAnsi="Arial" w:cs="Arial"/>
          <w:b/>
          <w:bCs/>
          <w:sz w:val="22"/>
          <w:szCs w:val="22"/>
          <w:lang w:val="pt"/>
        </w:rPr>
        <w:t>/2025</w:t>
      </w:r>
    </w:p>
    <w:p w14:paraId="53A4D11D" w14:textId="77777777" w:rsidR="00621301" w:rsidRDefault="00621301" w:rsidP="00F76C02">
      <w:pPr>
        <w:tabs>
          <w:tab w:val="left" w:pos="284"/>
        </w:tabs>
        <w:autoSpaceDE w:val="0"/>
        <w:autoSpaceDN w:val="0"/>
        <w:adjustRightInd w:val="0"/>
        <w:jc w:val="center"/>
        <w:rPr>
          <w:rFonts w:ascii="Arial" w:hAnsi="Arial" w:cs="Arial"/>
          <w:b/>
          <w:bCs/>
          <w:sz w:val="22"/>
          <w:szCs w:val="22"/>
          <w:lang w:val="pt"/>
        </w:rPr>
      </w:pPr>
    </w:p>
    <w:p w14:paraId="74F7364D" w14:textId="3CC6234D" w:rsidR="00621301" w:rsidRPr="00B44110" w:rsidRDefault="00772046"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FE7D3B">
        <w:rPr>
          <w:rFonts w:ascii="Arial" w:hAnsi="Arial" w:cs="Arial"/>
          <w:b/>
          <w:bCs/>
          <w:sz w:val="22"/>
          <w:szCs w:val="22"/>
          <w:lang w:val="pt"/>
        </w:rPr>
        <w:t>2</w:t>
      </w:r>
      <w:r>
        <w:rPr>
          <w:rFonts w:ascii="Arial" w:hAnsi="Arial" w:cs="Arial"/>
          <w:b/>
          <w:bCs/>
          <w:sz w:val="22"/>
          <w:szCs w:val="22"/>
          <w:lang w:val="pt"/>
        </w:rPr>
        <w:t>/2025</w:t>
      </w:r>
    </w:p>
    <w:p w14:paraId="69C0768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045D33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Pr="00B44110">
        <w:rPr>
          <w:rFonts w:ascii="Arial" w:hAnsi="Arial" w:cs="Arial"/>
          <w:sz w:val="22"/>
          <w:szCs w:val="22"/>
          <w:lang w:val="pt"/>
        </w:rPr>
        <w:t>/MG.,,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111A029B"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CE32E5">
        <w:rPr>
          <w:rFonts w:ascii="Arial" w:hAnsi="Arial" w:cs="Arial"/>
          <w:b/>
          <w:sz w:val="22"/>
          <w:szCs w:val="22"/>
          <w:lang w:val="pt"/>
        </w:rPr>
        <w:t>27</w:t>
      </w:r>
      <w:r w:rsidRPr="00B44110">
        <w:rPr>
          <w:rFonts w:ascii="Arial" w:hAnsi="Arial" w:cs="Arial"/>
          <w:b/>
          <w:sz w:val="22"/>
          <w:szCs w:val="22"/>
          <w:lang w:val="pt"/>
        </w:rPr>
        <w:t>/</w:t>
      </w:r>
      <w:r w:rsidR="005A7D1D" w:rsidRPr="00B44110">
        <w:rPr>
          <w:rFonts w:ascii="Arial" w:hAnsi="Arial" w:cs="Arial"/>
          <w:b/>
          <w:sz w:val="22"/>
          <w:szCs w:val="22"/>
          <w:lang w:val="pt"/>
        </w:rPr>
        <w:t>01</w:t>
      </w:r>
      <w:r w:rsidRPr="00B44110">
        <w:rPr>
          <w:rFonts w:ascii="Arial" w:hAnsi="Arial" w:cs="Arial"/>
          <w:b/>
          <w:sz w:val="22"/>
          <w:szCs w:val="22"/>
          <w:lang w:val="pt"/>
        </w:rPr>
        <w:t>/202</w:t>
      </w:r>
      <w:r w:rsidR="00EB1E5E">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77942EE" w:rsidR="00F76C02" w:rsidRPr="00B44110" w:rsidRDefault="00F76C02" w:rsidP="005A7D1D">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1.1 Constitui objeto desta Chamada Publica </w:t>
      </w:r>
      <w:r w:rsidR="00FE7D3B" w:rsidRPr="00FE7D3B">
        <w:rPr>
          <w:rFonts w:ascii="Arial" w:hAnsi="Arial" w:cs="Arial"/>
          <w:b/>
          <w:bCs/>
          <w:caps/>
          <w:sz w:val="22"/>
          <w:szCs w:val="22"/>
        </w:rPr>
        <w:t>contratação de empresa para prestação de serviços de apoio administrativo na condução dos processos administrativos da Câmara Municipal, notadamente, processos de licitação, digitação de documentos</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CE32E5" w:rsidRDefault="00F76C02" w:rsidP="00F76C02">
      <w:pPr>
        <w:tabs>
          <w:tab w:val="left" w:pos="284"/>
        </w:tabs>
        <w:autoSpaceDE w:val="0"/>
        <w:autoSpaceDN w:val="0"/>
        <w:adjustRightInd w:val="0"/>
        <w:jc w:val="both"/>
        <w:rPr>
          <w:rFonts w:ascii="Arial" w:hAnsi="Arial" w:cs="Arial"/>
          <w:sz w:val="22"/>
          <w:szCs w:val="22"/>
          <w:lang w:val="pt"/>
        </w:rPr>
      </w:pPr>
      <w:r w:rsidRPr="00CE32E5">
        <w:rPr>
          <w:rFonts w:ascii="Arial" w:hAnsi="Arial" w:cs="Arial"/>
          <w:b/>
          <w:sz w:val="22"/>
          <w:szCs w:val="22"/>
          <w:lang w:val="pt"/>
        </w:rPr>
        <w:t>2.0 – DOS RECURSOS ORÇAMENTÁRIOS:</w:t>
      </w:r>
      <w:r w:rsidRPr="00CE32E5">
        <w:rPr>
          <w:rFonts w:ascii="Arial" w:hAnsi="Arial" w:cs="Arial"/>
          <w:sz w:val="22"/>
          <w:szCs w:val="22"/>
          <w:lang w:val="pt"/>
        </w:rPr>
        <w:t xml:space="preserve"> </w:t>
      </w:r>
    </w:p>
    <w:p w14:paraId="24CC4DF8" w14:textId="6A0E72F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CE32E5">
        <w:rPr>
          <w:rFonts w:ascii="Arial" w:hAnsi="Arial" w:cs="Arial"/>
          <w:sz w:val="22"/>
          <w:szCs w:val="22"/>
          <w:lang w:val="pt"/>
        </w:rPr>
        <w:t xml:space="preserve">2.1. As despesas decorrentes desta contratação estão programadas em dotação orçamentária </w:t>
      </w:r>
      <w:r w:rsidR="00CE32E5" w:rsidRPr="00CE32E5">
        <w:rPr>
          <w:rFonts w:ascii="Arial" w:hAnsi="Arial" w:cs="Arial"/>
          <w:sz w:val="22"/>
          <w:szCs w:val="22"/>
          <w:lang w:val="pt"/>
        </w:rPr>
        <w:t>nº 3.3.90.39.00.1.01.02.01.031.0016.2.0003 1.500.000 MANUTENÇÃO DAS ATIVIDADES DA SEC. DA CÂMARA.</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1677C56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4E1CB6">
        <w:rPr>
          <w:rFonts w:ascii="Arial" w:hAnsi="Arial" w:cs="Arial"/>
          <w:sz w:val="22"/>
          <w:szCs w:val="22"/>
          <w:lang w:val="pt"/>
        </w:rPr>
        <w:t xml:space="preserve"> </w:t>
      </w:r>
      <w:r w:rsidR="00EA62A3">
        <w:rPr>
          <w:rFonts w:ascii="Arial" w:hAnsi="Arial" w:cs="Arial"/>
          <w:sz w:val="22"/>
          <w:szCs w:val="22"/>
          <w:lang w:val="pt"/>
        </w:rPr>
        <w:t>22.366,67</w:t>
      </w:r>
      <w:r w:rsidR="00C70D71" w:rsidRPr="00B44110">
        <w:rPr>
          <w:rFonts w:ascii="Arial" w:hAnsi="Arial" w:cs="Arial"/>
          <w:sz w:val="22"/>
          <w:szCs w:val="22"/>
          <w:lang w:val="pt"/>
        </w:rPr>
        <w:t xml:space="preserve"> </w:t>
      </w:r>
      <w:r w:rsidR="00565209" w:rsidRPr="00B44110">
        <w:rPr>
          <w:rFonts w:ascii="Arial" w:hAnsi="Arial" w:cs="Arial"/>
          <w:sz w:val="22"/>
          <w:szCs w:val="22"/>
          <w:lang w:val="pt"/>
        </w:rPr>
        <w:t>(</w:t>
      </w:r>
      <w:r w:rsidR="00EA62A3">
        <w:rPr>
          <w:rFonts w:ascii="Arial" w:hAnsi="Arial" w:cs="Arial"/>
          <w:sz w:val="22"/>
          <w:szCs w:val="22"/>
          <w:lang w:val="pt"/>
        </w:rPr>
        <w:t>Vinte e dois mil trezentos e sessenta e seis reais e sessenta e sete centavos</w:t>
      </w:r>
      <w:r w:rsidR="00565209" w:rsidRPr="00B44110">
        <w:rPr>
          <w:rFonts w:ascii="Arial" w:hAnsi="Arial" w:cs="Arial"/>
          <w:sz w:val="22"/>
          <w:szCs w:val="22"/>
          <w:lang w:val="pt"/>
        </w:rPr>
        <w:t>)</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w:t>
      </w:r>
      <w:r w:rsidRPr="00B44110">
        <w:rPr>
          <w:rFonts w:ascii="Arial" w:hAnsi="Arial" w:cs="Arial"/>
          <w:sz w:val="22"/>
          <w:szCs w:val="22"/>
          <w:lang w:val="pt"/>
        </w:rPr>
        <w:lastRenderedPageBreak/>
        <w:t xml:space="preserve">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5072974B"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CE32E5">
        <w:rPr>
          <w:rFonts w:ascii="Arial" w:hAnsi="Arial" w:cs="Arial"/>
          <w:b/>
          <w:sz w:val="22"/>
          <w:szCs w:val="22"/>
          <w:lang w:val="pt"/>
        </w:rPr>
        <w:t>27</w:t>
      </w:r>
      <w:r w:rsidR="00565209" w:rsidRPr="00B44110">
        <w:rPr>
          <w:rFonts w:ascii="Arial" w:hAnsi="Arial" w:cs="Arial"/>
          <w:b/>
          <w:sz w:val="22"/>
          <w:szCs w:val="22"/>
          <w:lang w:val="pt"/>
        </w:rPr>
        <w:t>/</w:t>
      </w:r>
      <w:r w:rsidR="005A7D1D" w:rsidRPr="00B44110">
        <w:rPr>
          <w:rFonts w:ascii="Arial" w:hAnsi="Arial" w:cs="Arial"/>
          <w:b/>
          <w:sz w:val="22"/>
          <w:szCs w:val="22"/>
          <w:lang w:val="pt"/>
        </w:rPr>
        <w:t>01</w:t>
      </w:r>
      <w:r w:rsidR="00565209" w:rsidRPr="00B44110">
        <w:rPr>
          <w:rFonts w:ascii="Arial" w:hAnsi="Arial" w:cs="Arial"/>
          <w:b/>
          <w:sz w:val="22"/>
          <w:szCs w:val="22"/>
          <w:lang w:val="pt"/>
        </w:rPr>
        <w:t>/202</w:t>
      </w:r>
      <w:r w:rsidR="00EB1E5E">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737A1E7B"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CE32E5">
        <w:rPr>
          <w:rFonts w:ascii="Arial" w:hAnsi="Arial" w:cs="Arial"/>
          <w:sz w:val="22"/>
          <w:szCs w:val="22"/>
        </w:rPr>
        <w:t>22</w:t>
      </w:r>
      <w:r w:rsidR="00565209" w:rsidRPr="00B44110">
        <w:rPr>
          <w:rFonts w:ascii="Arial" w:hAnsi="Arial" w:cs="Arial"/>
          <w:sz w:val="22"/>
          <w:szCs w:val="22"/>
        </w:rPr>
        <w:t xml:space="preserve"> de </w:t>
      </w:r>
      <w:r w:rsidR="005A7D1D" w:rsidRPr="00B44110">
        <w:rPr>
          <w:rFonts w:ascii="Arial" w:hAnsi="Arial" w:cs="Arial"/>
          <w:sz w:val="22"/>
          <w:szCs w:val="22"/>
        </w:rPr>
        <w:t>janeiro de 202</w:t>
      </w:r>
      <w:r w:rsidR="00772046">
        <w:rPr>
          <w:rFonts w:ascii="Arial" w:hAnsi="Arial" w:cs="Arial"/>
          <w:sz w:val="22"/>
          <w:szCs w:val="22"/>
        </w:rPr>
        <w:t>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883C173" w14:textId="67CEC9BA" w:rsidR="00F76C02" w:rsidRPr="00B44110" w:rsidRDefault="00CE32E5"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F76C02"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B0DC271" w14:textId="77777777" w:rsidR="00EB1E5E" w:rsidRDefault="00EB1E5E" w:rsidP="00F76C02">
      <w:pPr>
        <w:tabs>
          <w:tab w:val="left" w:pos="284"/>
        </w:tabs>
        <w:autoSpaceDE w:val="0"/>
        <w:autoSpaceDN w:val="0"/>
        <w:adjustRightInd w:val="0"/>
        <w:jc w:val="center"/>
        <w:rPr>
          <w:rFonts w:ascii="Arial" w:hAnsi="Arial" w:cs="Arial"/>
          <w:b/>
          <w:bCs/>
          <w:sz w:val="22"/>
          <w:szCs w:val="22"/>
          <w:lang w:val="pt"/>
        </w:rPr>
      </w:pPr>
    </w:p>
    <w:p w14:paraId="5D5F9451" w14:textId="209B4905"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772046">
        <w:rPr>
          <w:rFonts w:ascii="Arial" w:hAnsi="Arial" w:cs="Arial"/>
          <w:b/>
          <w:bCs/>
          <w:sz w:val="22"/>
          <w:szCs w:val="22"/>
          <w:lang w:val="pt"/>
        </w:rPr>
        <w:t>0</w:t>
      </w:r>
      <w:r w:rsidR="00FE7D3B">
        <w:rPr>
          <w:rFonts w:ascii="Arial" w:hAnsi="Arial" w:cs="Arial"/>
          <w:b/>
          <w:bCs/>
          <w:sz w:val="22"/>
          <w:szCs w:val="22"/>
          <w:lang w:val="pt"/>
        </w:rPr>
        <w:t>2</w:t>
      </w:r>
      <w:r w:rsidR="00772046">
        <w:rPr>
          <w:rFonts w:ascii="Arial" w:hAnsi="Arial" w:cs="Arial"/>
          <w:b/>
          <w:bCs/>
          <w:sz w:val="22"/>
          <w:szCs w:val="22"/>
          <w:lang w:val="pt"/>
        </w:rPr>
        <w:t>/2025</w:t>
      </w:r>
    </w:p>
    <w:p w14:paraId="36C9D80B" w14:textId="2481FF8C"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FE7D3B">
        <w:rPr>
          <w:rFonts w:ascii="Arial" w:hAnsi="Arial" w:cs="Arial"/>
          <w:b/>
          <w:bCs/>
          <w:sz w:val="22"/>
          <w:szCs w:val="22"/>
          <w:lang w:val="pt"/>
        </w:rPr>
        <w:t>02</w:t>
      </w:r>
      <w:r w:rsidR="00772046">
        <w:rPr>
          <w:rFonts w:ascii="Arial" w:hAnsi="Arial" w:cs="Arial"/>
          <w:b/>
          <w:bCs/>
          <w:sz w:val="22"/>
          <w:szCs w:val="22"/>
          <w:lang w:val="pt"/>
        </w:rPr>
        <w:t>/2025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5025F3FB"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00D66923" w:rsidRPr="00CE32E5">
        <w:rPr>
          <w:rFonts w:ascii="Arial" w:hAnsi="Arial" w:cs="Arial"/>
          <w:b/>
          <w:sz w:val="22"/>
          <w:szCs w:val="22"/>
        </w:rPr>
        <w:t>PORTARIA N.º 01</w:t>
      </w:r>
      <w:r w:rsidR="00D66923" w:rsidRPr="00CE32E5">
        <w:rPr>
          <w:rFonts w:ascii="Arial" w:hAnsi="Arial" w:cs="Arial"/>
          <w:sz w:val="22"/>
          <w:szCs w:val="22"/>
        </w:rPr>
        <w:t xml:space="preserve">, </w:t>
      </w:r>
      <w:r w:rsidR="00D66923" w:rsidRPr="00CE32E5">
        <w:rPr>
          <w:rFonts w:ascii="Arial" w:hAnsi="Arial" w:cs="Arial"/>
          <w:b/>
          <w:sz w:val="22"/>
          <w:szCs w:val="22"/>
        </w:rPr>
        <w:t>DE 02 DE JANEIRO DE 202</w:t>
      </w:r>
      <w:r w:rsidR="00EB1E5E" w:rsidRPr="00CE32E5">
        <w:rPr>
          <w:rFonts w:ascii="Arial" w:hAnsi="Arial" w:cs="Arial"/>
          <w:b/>
          <w:sz w:val="22"/>
          <w:szCs w:val="22"/>
        </w:rPr>
        <w:t>5</w:t>
      </w:r>
      <w:r w:rsidRPr="00CE32E5">
        <w:rPr>
          <w:rFonts w:ascii="Arial" w:hAnsi="Arial" w:cs="Arial"/>
          <w:sz w:val="22"/>
          <w:szCs w:val="22"/>
        </w:rPr>
        <w:t>,</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4ADD695C" w14:textId="3482BC05" w:rsidR="00565209" w:rsidRPr="00B44110" w:rsidRDefault="00FE7D3B" w:rsidP="00FE7D3B">
      <w:pPr>
        <w:pStyle w:val="PargrafodaLista"/>
        <w:numPr>
          <w:ilvl w:val="1"/>
          <w:numId w:val="21"/>
        </w:numPr>
        <w:ind w:right="317"/>
        <w:jc w:val="both"/>
        <w:rPr>
          <w:rFonts w:ascii="Arial" w:hAnsi="Arial" w:cs="Arial"/>
          <w:sz w:val="22"/>
          <w:szCs w:val="22"/>
        </w:rPr>
      </w:pPr>
      <w:r>
        <w:rPr>
          <w:rFonts w:ascii="Arial" w:hAnsi="Arial" w:cs="Arial"/>
          <w:sz w:val="22"/>
          <w:szCs w:val="22"/>
        </w:rPr>
        <w:t>C</w:t>
      </w:r>
      <w:r w:rsidRPr="00FE7D3B">
        <w:rPr>
          <w:rFonts w:ascii="Arial" w:hAnsi="Arial" w:cs="Arial"/>
          <w:sz w:val="22"/>
          <w:szCs w:val="22"/>
        </w:rPr>
        <w:t>ontratação de empresa para prestação de serviços de apoio administrativo na condução dos processos administrativos da Câmara Municipal, notadamente, processos de lic</w:t>
      </w:r>
      <w:r>
        <w:rPr>
          <w:rFonts w:ascii="Arial" w:hAnsi="Arial" w:cs="Arial"/>
          <w:sz w:val="22"/>
          <w:szCs w:val="22"/>
        </w:rPr>
        <w:t>itação, digitação de documentos</w:t>
      </w:r>
      <w:r w:rsidR="005A7D1D" w:rsidRPr="00B44110">
        <w:rPr>
          <w:rFonts w:ascii="Arial" w:hAnsi="Arial" w:cs="Arial"/>
          <w:sz w:val="22"/>
          <w:szCs w:val="22"/>
        </w:rPr>
        <w:t>.</w:t>
      </w:r>
    </w:p>
    <w:p w14:paraId="5497734A" w14:textId="77777777" w:rsidR="00B44110" w:rsidRPr="00B44110" w:rsidRDefault="00B44110" w:rsidP="00B44110">
      <w:pPr>
        <w:ind w:right="317"/>
        <w:jc w:val="both"/>
        <w:rPr>
          <w:rFonts w:ascii="Arial" w:hAnsi="Arial" w:cs="Arial"/>
          <w:sz w:val="22"/>
          <w:szCs w:val="22"/>
        </w:rPr>
      </w:pPr>
    </w:p>
    <w:p w14:paraId="2B1FC6FD" w14:textId="77777777" w:rsidR="00565209" w:rsidRPr="00B44110" w:rsidRDefault="00565209" w:rsidP="00565209">
      <w:pPr>
        <w:ind w:right="317"/>
        <w:jc w:val="both"/>
        <w:rPr>
          <w:rFonts w:ascii="Arial" w:hAnsi="Arial" w:cs="Arial"/>
          <w:sz w:val="22"/>
          <w:szCs w:val="22"/>
        </w:rPr>
      </w:pPr>
    </w:p>
    <w:p w14:paraId="6B335564" w14:textId="2A6FAF14" w:rsidR="00FE7D3B" w:rsidRPr="00FE7D3B" w:rsidRDefault="00FE7D3B" w:rsidP="00FE7D3B">
      <w:pPr>
        <w:pStyle w:val="PargrafodaLista"/>
        <w:numPr>
          <w:ilvl w:val="0"/>
          <w:numId w:val="8"/>
        </w:numPr>
        <w:jc w:val="both"/>
        <w:rPr>
          <w:b/>
        </w:rPr>
      </w:pPr>
      <w:r w:rsidRPr="00FE7D3B">
        <w:rPr>
          <w:b/>
        </w:rPr>
        <w:t>DA ESPECIFICAÇÃO DOS SERVIÇOS:</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993"/>
        <w:gridCol w:w="850"/>
        <w:gridCol w:w="3827"/>
        <w:gridCol w:w="1560"/>
        <w:gridCol w:w="1701"/>
      </w:tblGrid>
      <w:tr w:rsidR="00FE7D3B" w:rsidRPr="00FE7D3B" w14:paraId="0A68A92B" w14:textId="77777777" w:rsidTr="00FE7D3B">
        <w:trPr>
          <w:trHeight w:val="773"/>
        </w:trPr>
        <w:tc>
          <w:tcPr>
            <w:tcW w:w="675" w:type="dxa"/>
            <w:shd w:val="clear" w:color="auto" w:fill="D9D9D9"/>
            <w:vAlign w:val="center"/>
          </w:tcPr>
          <w:p w14:paraId="2B5FBC6A" w14:textId="77777777" w:rsidR="00FE7D3B" w:rsidRPr="00FE7D3B" w:rsidRDefault="00FE7D3B" w:rsidP="00FE7D3B">
            <w:pPr>
              <w:jc w:val="center"/>
              <w:rPr>
                <w:rFonts w:ascii="Arial" w:hAnsi="Arial" w:cs="Arial"/>
                <w:b/>
                <w:sz w:val="22"/>
                <w:szCs w:val="22"/>
              </w:rPr>
            </w:pPr>
            <w:r w:rsidRPr="00FE7D3B">
              <w:rPr>
                <w:rFonts w:ascii="Arial" w:hAnsi="Arial" w:cs="Arial"/>
                <w:b/>
                <w:sz w:val="22"/>
                <w:szCs w:val="22"/>
              </w:rPr>
              <w:t>Item</w:t>
            </w:r>
          </w:p>
        </w:tc>
        <w:tc>
          <w:tcPr>
            <w:tcW w:w="993" w:type="dxa"/>
            <w:shd w:val="clear" w:color="auto" w:fill="D9D9D9"/>
            <w:vAlign w:val="center"/>
          </w:tcPr>
          <w:p w14:paraId="12CBF551" w14:textId="77777777" w:rsidR="00FE7D3B" w:rsidRPr="00FE7D3B" w:rsidRDefault="00FE7D3B" w:rsidP="00FE7D3B">
            <w:pPr>
              <w:jc w:val="center"/>
              <w:rPr>
                <w:rFonts w:ascii="Arial" w:hAnsi="Arial" w:cs="Arial"/>
                <w:b/>
                <w:bCs/>
                <w:color w:val="000000"/>
                <w:sz w:val="22"/>
                <w:szCs w:val="22"/>
              </w:rPr>
            </w:pPr>
            <w:r w:rsidRPr="00FE7D3B">
              <w:rPr>
                <w:rFonts w:ascii="Arial" w:hAnsi="Arial" w:cs="Arial"/>
                <w:b/>
                <w:bCs/>
                <w:color w:val="000000"/>
                <w:sz w:val="22"/>
                <w:szCs w:val="22"/>
              </w:rPr>
              <w:t>Quant.</w:t>
            </w:r>
          </w:p>
        </w:tc>
        <w:tc>
          <w:tcPr>
            <w:tcW w:w="850" w:type="dxa"/>
            <w:tcBorders>
              <w:right w:val="single" w:sz="4" w:space="0" w:color="auto"/>
            </w:tcBorders>
            <w:shd w:val="clear" w:color="auto" w:fill="D9D9D9"/>
            <w:vAlign w:val="center"/>
          </w:tcPr>
          <w:p w14:paraId="358EF0DB" w14:textId="77777777" w:rsidR="00FE7D3B" w:rsidRPr="00FE7D3B" w:rsidRDefault="00FE7D3B" w:rsidP="00FE7D3B">
            <w:pPr>
              <w:jc w:val="center"/>
              <w:rPr>
                <w:rFonts w:ascii="Arial" w:hAnsi="Arial" w:cs="Arial"/>
                <w:b/>
                <w:bCs/>
                <w:color w:val="000000"/>
                <w:sz w:val="22"/>
                <w:szCs w:val="22"/>
              </w:rPr>
            </w:pPr>
            <w:r w:rsidRPr="00FE7D3B">
              <w:rPr>
                <w:rFonts w:ascii="Arial" w:hAnsi="Arial" w:cs="Arial"/>
                <w:b/>
                <w:bCs/>
                <w:color w:val="000000"/>
                <w:sz w:val="22"/>
                <w:szCs w:val="22"/>
              </w:rPr>
              <w:t>Unid.</w:t>
            </w:r>
          </w:p>
        </w:tc>
        <w:tc>
          <w:tcPr>
            <w:tcW w:w="3827" w:type="dxa"/>
            <w:tcBorders>
              <w:left w:val="single" w:sz="4" w:space="0" w:color="auto"/>
            </w:tcBorders>
            <w:shd w:val="clear" w:color="auto" w:fill="D9D9D9"/>
            <w:vAlign w:val="center"/>
          </w:tcPr>
          <w:p w14:paraId="47BABF86" w14:textId="77777777" w:rsidR="00FE7D3B" w:rsidRPr="00FE7D3B" w:rsidRDefault="00FE7D3B" w:rsidP="00FE7D3B">
            <w:pPr>
              <w:jc w:val="center"/>
              <w:rPr>
                <w:rFonts w:ascii="Arial" w:hAnsi="Arial" w:cs="Arial"/>
                <w:b/>
                <w:sz w:val="22"/>
                <w:szCs w:val="22"/>
              </w:rPr>
            </w:pPr>
            <w:r w:rsidRPr="00FE7D3B">
              <w:rPr>
                <w:rFonts w:ascii="Arial" w:hAnsi="Arial" w:cs="Arial"/>
                <w:b/>
                <w:sz w:val="22"/>
                <w:szCs w:val="22"/>
              </w:rPr>
              <w:t>Descrição</w:t>
            </w:r>
          </w:p>
        </w:tc>
        <w:tc>
          <w:tcPr>
            <w:tcW w:w="1560" w:type="dxa"/>
            <w:shd w:val="clear" w:color="auto" w:fill="D9D9D9"/>
            <w:vAlign w:val="center"/>
          </w:tcPr>
          <w:p w14:paraId="625259D5" w14:textId="77777777" w:rsidR="00FE7D3B" w:rsidRPr="00FE7D3B" w:rsidRDefault="00FE7D3B" w:rsidP="00FE7D3B">
            <w:pPr>
              <w:jc w:val="center"/>
              <w:rPr>
                <w:rFonts w:ascii="Arial" w:hAnsi="Arial" w:cs="Arial"/>
                <w:b/>
                <w:bCs/>
                <w:color w:val="000000"/>
                <w:sz w:val="22"/>
                <w:szCs w:val="22"/>
              </w:rPr>
            </w:pPr>
            <w:r w:rsidRPr="00FE7D3B">
              <w:rPr>
                <w:rFonts w:ascii="Arial" w:hAnsi="Arial" w:cs="Arial"/>
                <w:b/>
                <w:bCs/>
                <w:color w:val="000000"/>
                <w:sz w:val="22"/>
                <w:szCs w:val="22"/>
              </w:rPr>
              <w:t>Valor unitário</w:t>
            </w:r>
          </w:p>
        </w:tc>
        <w:tc>
          <w:tcPr>
            <w:tcW w:w="1701" w:type="dxa"/>
            <w:shd w:val="clear" w:color="auto" w:fill="D9D9D9"/>
            <w:vAlign w:val="center"/>
          </w:tcPr>
          <w:p w14:paraId="0C4D3EA3" w14:textId="77777777" w:rsidR="00FE7D3B" w:rsidRPr="00FE7D3B" w:rsidRDefault="00FE7D3B" w:rsidP="00FE7D3B">
            <w:pPr>
              <w:jc w:val="center"/>
              <w:rPr>
                <w:rFonts w:ascii="Arial" w:hAnsi="Arial" w:cs="Arial"/>
                <w:b/>
                <w:bCs/>
                <w:color w:val="000000"/>
                <w:sz w:val="22"/>
                <w:szCs w:val="22"/>
              </w:rPr>
            </w:pPr>
            <w:r w:rsidRPr="00FE7D3B">
              <w:rPr>
                <w:rFonts w:ascii="Arial" w:hAnsi="Arial" w:cs="Arial"/>
                <w:b/>
                <w:bCs/>
                <w:color w:val="000000"/>
                <w:sz w:val="22"/>
                <w:szCs w:val="22"/>
              </w:rPr>
              <w:t>Valor total</w:t>
            </w:r>
          </w:p>
        </w:tc>
      </w:tr>
      <w:tr w:rsidR="00FE7D3B" w:rsidRPr="00FE7D3B" w14:paraId="6BBD7220" w14:textId="77777777" w:rsidTr="00FE7D3B">
        <w:trPr>
          <w:trHeight w:val="421"/>
        </w:trPr>
        <w:tc>
          <w:tcPr>
            <w:tcW w:w="675" w:type="dxa"/>
            <w:shd w:val="clear" w:color="auto" w:fill="auto"/>
            <w:vAlign w:val="center"/>
          </w:tcPr>
          <w:p w14:paraId="6C2E81B4" w14:textId="77777777" w:rsidR="00FE7D3B" w:rsidRPr="00FE7D3B" w:rsidRDefault="00FE7D3B" w:rsidP="00FE7D3B">
            <w:pPr>
              <w:jc w:val="center"/>
              <w:rPr>
                <w:rFonts w:ascii="Arial" w:hAnsi="Arial" w:cs="Arial"/>
                <w:sz w:val="22"/>
                <w:szCs w:val="22"/>
              </w:rPr>
            </w:pPr>
            <w:r w:rsidRPr="00FE7D3B">
              <w:rPr>
                <w:rFonts w:ascii="Arial" w:hAnsi="Arial" w:cs="Arial"/>
                <w:sz w:val="22"/>
                <w:szCs w:val="22"/>
              </w:rPr>
              <w:t>1</w:t>
            </w:r>
          </w:p>
        </w:tc>
        <w:tc>
          <w:tcPr>
            <w:tcW w:w="993" w:type="dxa"/>
            <w:vAlign w:val="center"/>
          </w:tcPr>
          <w:p w14:paraId="4F32C13D" w14:textId="0DFB4E5C" w:rsidR="00FE7D3B" w:rsidRPr="00FE7D3B" w:rsidRDefault="00FE7D3B" w:rsidP="00FE7D3B">
            <w:pPr>
              <w:jc w:val="center"/>
              <w:rPr>
                <w:rFonts w:ascii="Arial" w:hAnsi="Arial" w:cs="Arial"/>
                <w:sz w:val="22"/>
                <w:szCs w:val="22"/>
              </w:rPr>
            </w:pPr>
            <w:r>
              <w:rPr>
                <w:rFonts w:ascii="Arial" w:hAnsi="Arial" w:cs="Arial"/>
                <w:sz w:val="22"/>
                <w:szCs w:val="22"/>
              </w:rPr>
              <w:t>11</w:t>
            </w:r>
          </w:p>
        </w:tc>
        <w:tc>
          <w:tcPr>
            <w:tcW w:w="850" w:type="dxa"/>
            <w:tcBorders>
              <w:right w:val="single" w:sz="4" w:space="0" w:color="auto"/>
            </w:tcBorders>
            <w:shd w:val="clear" w:color="auto" w:fill="auto"/>
            <w:vAlign w:val="center"/>
          </w:tcPr>
          <w:p w14:paraId="692C1BE5" w14:textId="77777777" w:rsidR="00FE7D3B" w:rsidRPr="00FE7D3B" w:rsidRDefault="00FE7D3B" w:rsidP="00FE7D3B">
            <w:pPr>
              <w:jc w:val="center"/>
              <w:rPr>
                <w:rFonts w:ascii="Arial" w:hAnsi="Arial" w:cs="Arial"/>
                <w:sz w:val="22"/>
                <w:szCs w:val="22"/>
              </w:rPr>
            </w:pPr>
            <w:r w:rsidRPr="00FE7D3B">
              <w:rPr>
                <w:rFonts w:ascii="Arial" w:hAnsi="Arial" w:cs="Arial"/>
                <w:sz w:val="22"/>
                <w:szCs w:val="22"/>
              </w:rPr>
              <w:t>MÊS</w:t>
            </w:r>
          </w:p>
        </w:tc>
        <w:tc>
          <w:tcPr>
            <w:tcW w:w="3827" w:type="dxa"/>
            <w:tcBorders>
              <w:left w:val="single" w:sz="4" w:space="0" w:color="auto"/>
            </w:tcBorders>
            <w:shd w:val="clear" w:color="auto" w:fill="auto"/>
            <w:vAlign w:val="center"/>
          </w:tcPr>
          <w:p w14:paraId="5C371F1E" w14:textId="77777777" w:rsidR="00FE7D3B" w:rsidRPr="00FE7D3B" w:rsidRDefault="00FE7D3B" w:rsidP="00FE7D3B">
            <w:pPr>
              <w:jc w:val="both"/>
              <w:rPr>
                <w:rFonts w:ascii="Arial" w:hAnsi="Arial" w:cs="Arial"/>
                <w:sz w:val="22"/>
                <w:szCs w:val="22"/>
              </w:rPr>
            </w:pPr>
            <w:r w:rsidRPr="00FE7D3B">
              <w:rPr>
                <w:rFonts w:ascii="Arial" w:hAnsi="Arial" w:cs="Arial"/>
                <w:sz w:val="22"/>
                <w:szCs w:val="22"/>
              </w:rPr>
              <w:t>Prestação de serviços de apoio administrativo na condução dos processos administrativos da Câmara Municipal, notadamente, processos de licitação, digitação de documentos</w:t>
            </w:r>
          </w:p>
        </w:tc>
        <w:tc>
          <w:tcPr>
            <w:tcW w:w="1560" w:type="dxa"/>
            <w:shd w:val="clear" w:color="auto" w:fill="auto"/>
            <w:vAlign w:val="center"/>
          </w:tcPr>
          <w:p w14:paraId="49B1B690" w14:textId="548F915A" w:rsidR="00FE7D3B" w:rsidRPr="00FE7D3B" w:rsidRDefault="00FE7D3B" w:rsidP="00EA62A3">
            <w:pPr>
              <w:jc w:val="center"/>
              <w:rPr>
                <w:rFonts w:ascii="Arial" w:hAnsi="Arial" w:cs="Arial"/>
                <w:sz w:val="22"/>
                <w:szCs w:val="22"/>
              </w:rPr>
            </w:pPr>
            <w:r w:rsidRPr="00FE7D3B">
              <w:rPr>
                <w:rFonts w:ascii="Arial" w:hAnsi="Arial" w:cs="Arial"/>
                <w:sz w:val="22"/>
                <w:szCs w:val="22"/>
              </w:rPr>
              <w:t xml:space="preserve">R$ </w:t>
            </w:r>
            <w:r w:rsidR="00EA62A3">
              <w:rPr>
                <w:rFonts w:ascii="Arial" w:hAnsi="Arial" w:cs="Arial"/>
                <w:sz w:val="22"/>
                <w:szCs w:val="22"/>
              </w:rPr>
              <w:t>2.033,33</w:t>
            </w:r>
          </w:p>
        </w:tc>
        <w:tc>
          <w:tcPr>
            <w:tcW w:w="1701" w:type="dxa"/>
            <w:shd w:val="clear" w:color="auto" w:fill="auto"/>
            <w:vAlign w:val="center"/>
          </w:tcPr>
          <w:p w14:paraId="41B58509" w14:textId="1062B945" w:rsidR="00FE7D3B" w:rsidRPr="00FE7D3B" w:rsidRDefault="00FE7D3B" w:rsidP="00EA62A3">
            <w:pPr>
              <w:jc w:val="center"/>
              <w:rPr>
                <w:rFonts w:ascii="Arial" w:hAnsi="Arial" w:cs="Arial"/>
                <w:sz w:val="22"/>
                <w:szCs w:val="22"/>
              </w:rPr>
            </w:pPr>
            <w:r w:rsidRPr="00FE7D3B">
              <w:rPr>
                <w:rFonts w:ascii="Arial" w:hAnsi="Arial" w:cs="Arial"/>
                <w:sz w:val="22"/>
                <w:szCs w:val="22"/>
              </w:rPr>
              <w:t xml:space="preserve">R$ </w:t>
            </w:r>
            <w:r w:rsidR="00EA62A3">
              <w:rPr>
                <w:rFonts w:ascii="Arial" w:hAnsi="Arial" w:cs="Arial"/>
                <w:sz w:val="22"/>
                <w:szCs w:val="22"/>
              </w:rPr>
              <w:t>22.366,67</w:t>
            </w:r>
          </w:p>
        </w:tc>
      </w:tr>
    </w:tbl>
    <w:p w14:paraId="130AAD41" w14:textId="77777777" w:rsidR="00FE7D3B" w:rsidRPr="00FE7D3B" w:rsidRDefault="00FE7D3B" w:rsidP="00FE7D3B">
      <w:pPr>
        <w:pStyle w:val="PargrafodaLista"/>
        <w:ind w:left="573"/>
        <w:jc w:val="both"/>
        <w:rPr>
          <w:b/>
        </w:rPr>
      </w:pPr>
    </w:p>
    <w:p w14:paraId="1BA53F3A" w14:textId="5F1E2E50" w:rsidR="00FE7D3B" w:rsidRPr="00FE7D3B" w:rsidRDefault="00FE7D3B" w:rsidP="00FE7D3B">
      <w:pPr>
        <w:pStyle w:val="PargrafodaLista"/>
        <w:numPr>
          <w:ilvl w:val="0"/>
          <w:numId w:val="8"/>
        </w:numPr>
        <w:jc w:val="both"/>
        <w:rPr>
          <w:b/>
        </w:rPr>
      </w:pPr>
      <w:r w:rsidRPr="00FE7D3B">
        <w:rPr>
          <w:b/>
        </w:rPr>
        <w:t>DAS ESPECIFICAÇÕES TÉCNICAS DO SERVIÇO</w:t>
      </w:r>
    </w:p>
    <w:p w14:paraId="5695B9C9" w14:textId="4275B295" w:rsidR="00FE7D3B" w:rsidRPr="00FE7D3B" w:rsidRDefault="00FE7D3B" w:rsidP="00FE7D3B">
      <w:pPr>
        <w:pStyle w:val="PargrafodaLista"/>
        <w:spacing w:line="200" w:lineRule="atLeast"/>
        <w:ind w:left="573"/>
        <w:jc w:val="both"/>
        <w:rPr>
          <w:rFonts w:ascii="Arial" w:hAnsi="Arial" w:cs="Arial"/>
          <w:sz w:val="22"/>
          <w:szCs w:val="22"/>
        </w:rPr>
      </w:pPr>
      <w:r>
        <w:rPr>
          <w:bCs/>
          <w:shd w:val="clear" w:color="auto" w:fill="FFFFFF"/>
        </w:rPr>
        <w:t>3</w:t>
      </w:r>
      <w:r w:rsidRPr="00FE7D3B">
        <w:rPr>
          <w:bCs/>
          <w:shd w:val="clear" w:color="auto" w:fill="FFFFFF"/>
        </w:rPr>
        <w:t xml:space="preserve">.1. </w:t>
      </w:r>
      <w:r w:rsidRPr="00FE7D3B">
        <w:rPr>
          <w:rFonts w:ascii="Arial" w:hAnsi="Arial" w:cs="Arial"/>
          <w:sz w:val="22"/>
          <w:szCs w:val="22"/>
        </w:rPr>
        <w:t>Apoiar/auxiliar na elaboração de editais licitatórios, projetos básicos (PB), Termos de referências (TR), minutas contratuais, minutas de Atas de Registro de Preço, inclusive digitação e digitalização destes instrumentos, compreendendo as seguintes</w:t>
      </w:r>
      <w:r>
        <w:rPr>
          <w:rFonts w:ascii="Arial" w:hAnsi="Arial" w:cs="Arial"/>
          <w:sz w:val="22"/>
          <w:szCs w:val="22"/>
        </w:rPr>
        <w:t xml:space="preserve"> </w:t>
      </w:r>
      <w:r w:rsidRPr="00FE7D3B">
        <w:rPr>
          <w:rFonts w:ascii="Arial" w:hAnsi="Arial" w:cs="Arial"/>
          <w:sz w:val="22"/>
          <w:szCs w:val="22"/>
        </w:rPr>
        <w:t>tarefas:</w:t>
      </w:r>
    </w:p>
    <w:p w14:paraId="490538A6" w14:textId="11182FA8" w:rsidR="00FE7D3B" w:rsidRPr="00FE7D3B" w:rsidRDefault="00FE7D3B" w:rsidP="00FE7D3B">
      <w:pPr>
        <w:pStyle w:val="PargrafodaLista"/>
        <w:spacing w:line="200" w:lineRule="atLeast"/>
        <w:ind w:left="573"/>
        <w:jc w:val="both"/>
        <w:rPr>
          <w:rFonts w:ascii="Arial" w:hAnsi="Arial" w:cs="Arial"/>
          <w:sz w:val="22"/>
          <w:szCs w:val="22"/>
        </w:rPr>
      </w:pPr>
      <w:r>
        <w:rPr>
          <w:rFonts w:ascii="Arial" w:hAnsi="Arial" w:cs="Arial"/>
          <w:sz w:val="22"/>
          <w:szCs w:val="22"/>
        </w:rPr>
        <w:t>3</w:t>
      </w:r>
      <w:r w:rsidRPr="00FE7D3B">
        <w:rPr>
          <w:rFonts w:ascii="Arial" w:hAnsi="Arial" w:cs="Arial"/>
          <w:sz w:val="22"/>
          <w:szCs w:val="22"/>
        </w:rPr>
        <w:t>.1.1. Digitação de editais, termos de referência, projeto básico, contratos, atas, julgamentos de recursos, erratas de licitação, entre outros documentos pertinentes e necessários ao setor de licitação, em formato “DOC”, Excel ou diretamente no sistema de lançamentos de dados;</w:t>
      </w:r>
    </w:p>
    <w:p w14:paraId="685B0FF8" w14:textId="6F486E98" w:rsidR="00FE7D3B" w:rsidRPr="00FE7D3B" w:rsidRDefault="00FE7D3B" w:rsidP="00FE7D3B">
      <w:pPr>
        <w:pStyle w:val="PargrafodaLista"/>
        <w:spacing w:line="200" w:lineRule="atLeast"/>
        <w:ind w:left="573"/>
        <w:jc w:val="both"/>
        <w:rPr>
          <w:rFonts w:ascii="Arial" w:hAnsi="Arial" w:cs="Arial"/>
          <w:sz w:val="22"/>
          <w:szCs w:val="22"/>
        </w:rPr>
      </w:pPr>
      <w:r>
        <w:rPr>
          <w:rFonts w:ascii="Arial" w:hAnsi="Arial" w:cs="Arial"/>
          <w:sz w:val="22"/>
          <w:szCs w:val="22"/>
        </w:rPr>
        <w:t>3</w:t>
      </w:r>
      <w:r w:rsidRPr="00FE7D3B">
        <w:rPr>
          <w:rFonts w:ascii="Arial" w:hAnsi="Arial" w:cs="Arial"/>
          <w:sz w:val="22"/>
          <w:szCs w:val="22"/>
        </w:rPr>
        <w:t>.1.2. Digitar e publicar extrato/aviso de licitação, contratos, editais, termos aditivos, termo de cancelamento, revogação, anulação, rescisão, atas, julgamentos, quadro de avisos, imprensas jornalísticas, portal da transparência e em sistema específico de comunicação com o TCE (quando solicitado), entre outras tarefas pertinentes;</w:t>
      </w:r>
    </w:p>
    <w:p w14:paraId="08808ADE" w14:textId="2F56659B" w:rsidR="00FE7D3B" w:rsidRPr="00FE7D3B" w:rsidRDefault="00FE7D3B" w:rsidP="00FE7D3B">
      <w:pPr>
        <w:pStyle w:val="PargrafodaLista"/>
        <w:spacing w:line="200" w:lineRule="atLeast"/>
        <w:ind w:left="573"/>
        <w:jc w:val="both"/>
        <w:rPr>
          <w:rFonts w:ascii="Arial" w:hAnsi="Arial" w:cs="Arial"/>
          <w:sz w:val="22"/>
          <w:szCs w:val="22"/>
        </w:rPr>
      </w:pPr>
      <w:r>
        <w:rPr>
          <w:rFonts w:ascii="Arial" w:hAnsi="Arial" w:cs="Arial"/>
          <w:sz w:val="22"/>
          <w:szCs w:val="22"/>
        </w:rPr>
        <w:t>3</w:t>
      </w:r>
      <w:r w:rsidRPr="00FE7D3B">
        <w:rPr>
          <w:rFonts w:ascii="Arial" w:hAnsi="Arial" w:cs="Arial"/>
          <w:sz w:val="22"/>
          <w:szCs w:val="22"/>
        </w:rPr>
        <w:t>.1.3. Digitalizar documentos de caráter licitatório para cumprir obrigações legais de publicidade e demais expedientes legais do setor de licitação (quando solicitado).</w:t>
      </w:r>
    </w:p>
    <w:p w14:paraId="465C1E18" w14:textId="68F5A5A7" w:rsidR="00FE7D3B" w:rsidRPr="00FE7D3B" w:rsidRDefault="00FE7D3B" w:rsidP="00FE7D3B">
      <w:pPr>
        <w:pStyle w:val="PargrafodaLista"/>
        <w:spacing w:line="200" w:lineRule="atLeast"/>
        <w:ind w:left="573"/>
        <w:jc w:val="both"/>
        <w:rPr>
          <w:rFonts w:ascii="Arial" w:hAnsi="Arial" w:cs="Arial"/>
          <w:sz w:val="22"/>
          <w:szCs w:val="22"/>
        </w:rPr>
      </w:pPr>
      <w:r>
        <w:rPr>
          <w:rFonts w:ascii="Arial" w:hAnsi="Arial" w:cs="Arial"/>
          <w:sz w:val="22"/>
          <w:szCs w:val="22"/>
        </w:rPr>
        <w:t>3</w:t>
      </w:r>
      <w:r w:rsidRPr="00FE7D3B">
        <w:rPr>
          <w:rFonts w:ascii="Arial" w:hAnsi="Arial" w:cs="Arial"/>
          <w:sz w:val="22"/>
          <w:szCs w:val="22"/>
        </w:rPr>
        <w:t>.1.4. Apoiar a Comissão Permanente de Licitações - CPL e o Pregoeiro nas tarefas pertinentes as sessões públicas de licitação, compreendendo os serviços</w:t>
      </w:r>
      <w:r>
        <w:rPr>
          <w:rFonts w:ascii="Arial" w:hAnsi="Arial" w:cs="Arial"/>
          <w:sz w:val="22"/>
          <w:szCs w:val="22"/>
        </w:rPr>
        <w:t xml:space="preserve"> </w:t>
      </w:r>
      <w:r w:rsidRPr="00FE7D3B">
        <w:rPr>
          <w:rFonts w:ascii="Arial" w:hAnsi="Arial" w:cs="Arial"/>
          <w:sz w:val="22"/>
          <w:szCs w:val="22"/>
        </w:rPr>
        <w:t>de digitação e digitalização de atas da sessão, tirar xerox de documentos, publicar resultados, entre outras tarefas oportunas.</w:t>
      </w:r>
    </w:p>
    <w:p w14:paraId="56FB6871" w14:textId="79E88AD2" w:rsidR="00FE7D3B" w:rsidRPr="00FE7D3B" w:rsidRDefault="00FE7D3B" w:rsidP="00FE7D3B">
      <w:pPr>
        <w:pStyle w:val="PargrafodaLista"/>
        <w:spacing w:line="200" w:lineRule="atLeast"/>
        <w:ind w:left="573"/>
        <w:jc w:val="both"/>
        <w:rPr>
          <w:rFonts w:ascii="Arial" w:hAnsi="Arial" w:cs="Arial"/>
          <w:sz w:val="22"/>
          <w:szCs w:val="22"/>
        </w:rPr>
      </w:pPr>
      <w:r>
        <w:rPr>
          <w:rFonts w:ascii="Arial" w:hAnsi="Arial" w:cs="Arial"/>
          <w:sz w:val="22"/>
          <w:szCs w:val="22"/>
        </w:rPr>
        <w:t>3</w:t>
      </w:r>
      <w:r w:rsidRPr="00FE7D3B">
        <w:rPr>
          <w:rFonts w:ascii="Arial" w:hAnsi="Arial" w:cs="Arial"/>
          <w:sz w:val="22"/>
          <w:szCs w:val="22"/>
        </w:rPr>
        <w:t>.1.5. Preenchimento do SISOP, módulo Edital e execução de obras do TCE/MG, compreendendo o preenchimento, envio, validação, manutenção e atualização</w:t>
      </w:r>
    </w:p>
    <w:p w14:paraId="51BD6E0A" w14:textId="77777777" w:rsidR="00FE7D3B" w:rsidRDefault="00FE7D3B" w:rsidP="00FE7D3B">
      <w:pPr>
        <w:pStyle w:val="PargrafodaLista"/>
        <w:ind w:left="0" w:right="317"/>
        <w:jc w:val="both"/>
        <w:rPr>
          <w:rFonts w:ascii="Arial" w:hAnsi="Arial" w:cs="Arial"/>
          <w:b/>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6EE6ED05" w:rsidR="00565209" w:rsidRPr="00B44110" w:rsidRDefault="00FE7D3B"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.1.</w:t>
      </w:r>
      <w:r w:rsidR="00565209" w:rsidRPr="00B44110">
        <w:rPr>
          <w:rFonts w:ascii="Arial" w:hAnsi="Arial" w:cs="Arial"/>
          <w:sz w:val="22"/>
          <w:szCs w:val="22"/>
        </w:rPr>
        <w:t xml:space="preserve"> A participação na presente dispensa se dará mediante envio de Propostas no site da Câmara Municipal, através do endereço eletrônico:</w:t>
      </w:r>
      <w:r w:rsidR="00565209" w:rsidRPr="00B44110">
        <w:t xml:space="preserve"> </w:t>
      </w:r>
      <w:r w:rsidR="00565209"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5962EE31" w:rsidR="00565209" w:rsidRPr="00B44110" w:rsidRDefault="00FE7D3B"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.2.</w:t>
      </w:r>
      <w:r w:rsidR="00565209"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3AF33273" w:rsidR="00565209" w:rsidRPr="00B44110" w:rsidRDefault="00FE7D3B"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.3.</w:t>
      </w:r>
      <w:r w:rsidR="00565209"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1839266D" w:rsidR="00565209" w:rsidRPr="00B44110" w:rsidRDefault="00FE7D3B" w:rsidP="00565209">
      <w:pPr>
        <w:ind w:right="317"/>
        <w:jc w:val="both"/>
        <w:rPr>
          <w:rFonts w:ascii="Arial" w:hAnsi="Arial" w:cs="Arial"/>
          <w:b/>
          <w:sz w:val="22"/>
          <w:szCs w:val="22"/>
        </w:rPr>
      </w:pPr>
      <w:r>
        <w:rPr>
          <w:rFonts w:ascii="Arial" w:hAnsi="Arial" w:cs="Arial"/>
          <w:b/>
          <w:sz w:val="22"/>
          <w:szCs w:val="22"/>
        </w:rPr>
        <w:t>5</w:t>
      </w:r>
      <w:r w:rsidR="00565209" w:rsidRPr="00B44110">
        <w:rPr>
          <w:rFonts w:ascii="Arial" w:hAnsi="Arial" w:cs="Arial"/>
          <w:b/>
          <w:sz w:val="22"/>
          <w:szCs w:val="22"/>
        </w:rPr>
        <w:t>.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55E9EE09"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1.</w:t>
      </w:r>
      <w:r w:rsidR="00565209"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48B14BE0"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.2.</w:t>
      </w:r>
      <w:r w:rsidR="00565209"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4AF99691"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.3.</w:t>
      </w:r>
      <w:r w:rsidR="00565209"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24C49EF9"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.4.</w:t>
      </w:r>
      <w:r w:rsidR="00565209"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5285FF7A"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.5.</w:t>
      </w:r>
      <w:r w:rsidR="00565209"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0FC971D8"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.6.</w:t>
      </w:r>
      <w:r w:rsidR="00565209"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175C7F36"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.7.</w:t>
      </w:r>
      <w:r w:rsidR="00565209"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6A1D20A6"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.8.</w:t>
      </w:r>
      <w:r w:rsidR="00565209"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440C01AA"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.9.</w:t>
      </w:r>
      <w:r w:rsidR="00565209"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30833B27" w:rsidR="00565209" w:rsidRPr="00B44110" w:rsidRDefault="00FE7D3B" w:rsidP="00565209">
      <w:pPr>
        <w:ind w:right="317"/>
        <w:jc w:val="both"/>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.10.</w:t>
      </w:r>
      <w:r w:rsidR="00565209"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351E63EF" w:rsidR="00565209" w:rsidRPr="00B44110" w:rsidRDefault="00FE7D3B" w:rsidP="00565209">
      <w:pPr>
        <w:ind w:right="319"/>
        <w:jc w:val="both"/>
        <w:textAlignment w:val="baseline"/>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.11.</w:t>
      </w:r>
      <w:r w:rsidR="00565209" w:rsidRPr="00B44110">
        <w:rPr>
          <w:rFonts w:ascii="Arial" w:hAnsi="Arial" w:cs="Arial"/>
          <w:sz w:val="22"/>
          <w:szCs w:val="22"/>
        </w:rPr>
        <w:t xml:space="preserve"> A partir das </w:t>
      </w:r>
      <w:r w:rsidR="00E230B8">
        <w:rPr>
          <w:rFonts w:ascii="Arial" w:hAnsi="Arial" w:cs="Arial"/>
          <w:sz w:val="22"/>
          <w:szCs w:val="22"/>
        </w:rPr>
        <w:t>13</w:t>
      </w:r>
      <w:r w:rsidR="00565209"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3675C342" w:rsidR="00565209" w:rsidRPr="00B44110" w:rsidRDefault="00FE7D3B" w:rsidP="00565209">
      <w:pPr>
        <w:ind w:right="319"/>
        <w:jc w:val="both"/>
        <w:textAlignment w:val="baseline"/>
        <w:rPr>
          <w:rFonts w:ascii="Arial" w:hAnsi="Arial" w:cs="Arial"/>
          <w:b/>
          <w:sz w:val="22"/>
          <w:szCs w:val="22"/>
        </w:rPr>
      </w:pPr>
      <w:r>
        <w:rPr>
          <w:rFonts w:ascii="Arial" w:hAnsi="Arial" w:cs="Arial"/>
          <w:b/>
          <w:sz w:val="22"/>
          <w:szCs w:val="22"/>
        </w:rPr>
        <w:t>6</w:t>
      </w:r>
      <w:r w:rsidR="00565209" w:rsidRPr="00B44110">
        <w:rPr>
          <w:rFonts w:ascii="Arial" w:hAnsi="Arial" w:cs="Arial"/>
          <w:b/>
          <w:sz w:val="22"/>
          <w:szCs w:val="22"/>
        </w:rPr>
        <w:t xml:space="preserve">. </w:t>
      </w:r>
      <w:r w:rsidR="00565209"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0123BC09"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.1.</w:t>
      </w:r>
      <w:r w:rsidR="00565209"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0FACEBA6"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.2.</w:t>
      </w:r>
      <w:r w:rsidR="00565209"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5B67B77D"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7</w:t>
      </w:r>
      <w:r w:rsidR="00565209" w:rsidRPr="00B44110">
        <w:rPr>
          <w:rFonts w:ascii="Arial" w:hAnsi="Arial" w:cs="Arial"/>
          <w:b/>
          <w:sz w:val="22"/>
          <w:szCs w:val="22"/>
        </w:rPr>
        <w:t>.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056AF699"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.1.</w:t>
      </w:r>
      <w:r w:rsidR="00565209"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03D03081"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.2.</w:t>
      </w:r>
      <w:r w:rsidR="00565209"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38BB7450"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.3.</w:t>
      </w:r>
      <w:r w:rsidR="00565209"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1DEB0BAE"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.4.</w:t>
      </w:r>
      <w:r w:rsidR="00565209"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5682A4B"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.5.</w:t>
      </w:r>
      <w:r w:rsidR="00565209"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6947E3B"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.6.</w:t>
      </w:r>
      <w:r w:rsidR="00565209"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6B0EC53E"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.7.</w:t>
      </w:r>
      <w:r w:rsidR="00565209"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2EAC89E8"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.7.1. </w:t>
      </w:r>
      <w:r w:rsidR="00565209"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497A18ED"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.7.2</w:t>
      </w:r>
      <w:r w:rsidR="00565209"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66D4C1F8"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.7.3. </w:t>
      </w:r>
      <w:r w:rsidR="00565209"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39DA2587"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.7.4. </w:t>
      </w:r>
      <w:r w:rsidR="00565209"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355C5AF"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.7.5. </w:t>
      </w:r>
      <w:r w:rsidR="00565209"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27108CED"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.7.6. </w:t>
      </w:r>
      <w:r w:rsidR="00565209"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CC00DD6"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.7.7. </w:t>
      </w:r>
      <w:r w:rsidR="00565209"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1990A237"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 xml:space="preserve">.7.8. </w:t>
      </w:r>
      <w:r w:rsidR="00565209"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42290A8D"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8</w:t>
      </w:r>
      <w:r w:rsidR="00565209" w:rsidRPr="00B44110">
        <w:rPr>
          <w:rFonts w:ascii="Arial" w:hAnsi="Arial" w:cs="Arial"/>
          <w:b/>
          <w:sz w:val="22"/>
          <w:szCs w:val="22"/>
        </w:rPr>
        <w:t>.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33F6FAFF"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.1.</w:t>
      </w:r>
      <w:r w:rsidR="00565209" w:rsidRPr="00B44110">
        <w:rPr>
          <w:rFonts w:ascii="Arial" w:hAnsi="Arial" w:cs="Arial"/>
          <w:sz w:val="22"/>
          <w:szCs w:val="22"/>
        </w:rPr>
        <w:t xml:space="preserve"> Os documentos a serem exigidos para fins de habilitação constam do </w:t>
      </w:r>
      <w:r w:rsidR="00565209" w:rsidRPr="00B44110">
        <w:rPr>
          <w:rFonts w:ascii="Arial" w:hAnsi="Arial" w:cs="Arial"/>
          <w:b/>
          <w:sz w:val="22"/>
          <w:szCs w:val="22"/>
        </w:rPr>
        <w:t xml:space="preserve">ANEXO I – DOCUMENTAÇÃO EXIGIDA PARA HABILITAÇÃO </w:t>
      </w:r>
      <w:r w:rsidR="00565209"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3A969359"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.2.</w:t>
      </w:r>
      <w:r w:rsidR="00565209"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2B4F8900"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.3.</w:t>
      </w:r>
      <w:r w:rsidR="00565209"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42E5867B"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.4.</w:t>
      </w:r>
      <w:r w:rsidR="00565209"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10C7C808"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.5.</w:t>
      </w:r>
      <w:r w:rsidR="00565209"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657C387E"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.6.</w:t>
      </w:r>
      <w:r w:rsidR="00565209" w:rsidRPr="00B44110">
        <w:rPr>
          <w:rFonts w:ascii="Arial" w:hAnsi="Arial" w:cs="Arial"/>
          <w:sz w:val="22"/>
          <w:szCs w:val="22"/>
        </w:rPr>
        <w:t xml:space="preserve"> O Prestador de Serviço será convocado para manifestação previamente à sua </w:t>
      </w:r>
      <w:r w:rsidR="00772046" w:rsidRPr="00B44110">
        <w:rPr>
          <w:rFonts w:ascii="Arial" w:hAnsi="Arial" w:cs="Arial"/>
          <w:sz w:val="22"/>
          <w:szCs w:val="22"/>
        </w:rPr>
        <w:t>desclassificação constatada</w:t>
      </w:r>
      <w:r w:rsidR="00565209" w:rsidRPr="00B44110">
        <w:rPr>
          <w:rFonts w:ascii="Arial" w:hAnsi="Arial" w:cs="Arial"/>
          <w:sz w:val="22"/>
          <w:szCs w:val="22"/>
        </w:rPr>
        <w:t xml:space="preserve">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59BA23C5"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9</w:t>
      </w:r>
      <w:r w:rsidR="00565209" w:rsidRPr="00B44110">
        <w:rPr>
          <w:rFonts w:ascii="Arial" w:hAnsi="Arial" w:cs="Arial"/>
          <w:b/>
          <w:sz w:val="22"/>
          <w:szCs w:val="22"/>
        </w:rPr>
        <w:t>.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441AF177"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.1.</w:t>
      </w:r>
      <w:r w:rsidR="00565209" w:rsidRPr="00B44110">
        <w:rPr>
          <w:rFonts w:ascii="Arial" w:hAnsi="Arial" w:cs="Arial"/>
          <w:sz w:val="22"/>
          <w:szCs w:val="22"/>
        </w:rPr>
        <w:t xml:space="preserve"> O prazo de vigência da contratação é de </w:t>
      </w:r>
      <w:r w:rsidR="00772046">
        <w:rPr>
          <w:rFonts w:ascii="Arial" w:hAnsi="Arial" w:cs="Arial"/>
          <w:sz w:val="22"/>
          <w:szCs w:val="22"/>
        </w:rPr>
        <w:t>11</w:t>
      </w:r>
      <w:r w:rsidR="005A7D1D" w:rsidRPr="00B44110">
        <w:rPr>
          <w:rFonts w:ascii="Arial" w:hAnsi="Arial" w:cs="Arial"/>
          <w:sz w:val="22"/>
          <w:szCs w:val="22"/>
        </w:rPr>
        <w:t xml:space="preserve"> </w:t>
      </w:r>
      <w:r w:rsidR="00565209" w:rsidRPr="00B44110">
        <w:rPr>
          <w:rFonts w:ascii="Arial" w:hAnsi="Arial" w:cs="Arial"/>
          <w:sz w:val="22"/>
          <w:szCs w:val="22"/>
        </w:rPr>
        <w:t>(</w:t>
      </w:r>
      <w:r w:rsidR="00772046">
        <w:rPr>
          <w:rFonts w:ascii="Arial" w:hAnsi="Arial" w:cs="Arial"/>
          <w:sz w:val="22"/>
          <w:szCs w:val="22"/>
        </w:rPr>
        <w:t>onze</w:t>
      </w:r>
      <w:r w:rsidR="00565209" w:rsidRPr="00B44110">
        <w:rPr>
          <w:rFonts w:ascii="Arial" w:hAnsi="Arial" w:cs="Arial"/>
          <w:sz w:val="22"/>
          <w:szCs w:val="22"/>
        </w:rPr>
        <w:t xml:space="preserve"> meses</w:t>
      </w:r>
      <w:r w:rsidR="00772046">
        <w:rPr>
          <w:rFonts w:ascii="Arial" w:hAnsi="Arial" w:cs="Arial"/>
          <w:sz w:val="22"/>
          <w:szCs w:val="22"/>
        </w:rPr>
        <w:t>)</w:t>
      </w:r>
      <w:r w:rsidR="00565209" w:rsidRPr="00B44110">
        <w:rPr>
          <w:rFonts w:ascii="Arial" w:hAnsi="Arial" w:cs="Arial"/>
          <w:sz w:val="22"/>
          <w:szCs w:val="22"/>
        </w:rPr>
        <w:t>, na forma do artigo 105 da Lei n° 14.133/2021</w:t>
      </w:r>
      <w:r w:rsidR="00772046">
        <w:rPr>
          <w:rFonts w:ascii="Arial" w:hAnsi="Arial" w:cs="Arial"/>
          <w:sz w:val="22"/>
          <w:szCs w:val="22"/>
        </w:rPr>
        <w:t>, podendo ser prorrogado</w:t>
      </w:r>
      <w:r w:rsidR="00565209" w:rsidRPr="00B44110">
        <w:rPr>
          <w:rFonts w:ascii="Arial" w:hAnsi="Arial" w:cs="Arial"/>
          <w:sz w:val="22"/>
          <w:szCs w:val="22"/>
        </w:rPr>
        <w:t>.</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2E23DD25"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.2.</w:t>
      </w:r>
      <w:r w:rsidR="00565209"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00565209"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418923AD"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10</w:t>
      </w:r>
      <w:r w:rsidR="00565209" w:rsidRPr="00B44110">
        <w:rPr>
          <w:rFonts w:ascii="Arial" w:hAnsi="Arial" w:cs="Arial"/>
          <w:b/>
          <w:sz w:val="22"/>
          <w:szCs w:val="22"/>
        </w:rPr>
        <w:t>.</w:t>
      </w:r>
      <w:r w:rsidR="00565209" w:rsidRPr="00B44110">
        <w:rPr>
          <w:rFonts w:ascii="Arial" w:hAnsi="Arial" w:cs="Arial"/>
          <w:sz w:val="22"/>
          <w:szCs w:val="22"/>
        </w:rPr>
        <w:t xml:space="preserve"> </w:t>
      </w:r>
      <w:r w:rsidR="00565209"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0910A707" w:rsidR="00565209" w:rsidRPr="00B44110" w:rsidRDefault="00FE7D3B"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.1.</w:t>
      </w:r>
      <w:r w:rsidR="00565209" w:rsidRPr="00B44110">
        <w:rPr>
          <w:rFonts w:ascii="Arial" w:hAnsi="Arial" w:cs="Arial"/>
          <w:sz w:val="22"/>
          <w:szCs w:val="22"/>
        </w:rPr>
        <w:t xml:space="preserve"> </w:t>
      </w:r>
      <w:r w:rsidR="00B44110" w:rsidRPr="00B44110">
        <w:rPr>
          <w:rFonts w:ascii="Arial" w:hAnsi="Arial" w:cs="Arial"/>
          <w:sz w:val="22"/>
          <w:szCs w:val="22"/>
        </w:rPr>
        <w:t>Não será</w:t>
      </w:r>
      <w:r w:rsidR="00565209"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00565209"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7DA51C92" w:rsidR="00565209" w:rsidRPr="00B44110" w:rsidRDefault="00FE7D3B"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.2.</w:t>
      </w:r>
      <w:r w:rsidR="00565209"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11467A00" w:rsidR="00565209" w:rsidRPr="00B44110" w:rsidRDefault="00FE7D3B"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.3.</w:t>
      </w:r>
      <w:r w:rsidR="00565209"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00565209"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39B5E1D" w:rsidR="00565209" w:rsidRPr="00B44110" w:rsidRDefault="00FE7D3B"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.4.</w:t>
      </w:r>
      <w:r w:rsidR="00565209"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1D425D58" w:rsidR="00565209" w:rsidRPr="00B44110" w:rsidRDefault="00FE7D3B"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.5.</w:t>
      </w:r>
      <w:r w:rsidR="00565209"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2A764F7D" w:rsidR="00565209" w:rsidRPr="00B44110" w:rsidRDefault="00FE7D3B" w:rsidP="00565209">
      <w:pPr>
        <w:jc w:val="both"/>
        <w:rPr>
          <w:rFonts w:ascii="Arial" w:hAnsi="Arial" w:cs="Arial"/>
          <w:b/>
          <w:sz w:val="22"/>
          <w:szCs w:val="22"/>
        </w:rPr>
      </w:pPr>
      <w:r>
        <w:rPr>
          <w:rFonts w:ascii="Arial" w:hAnsi="Arial" w:cs="Arial"/>
          <w:b/>
          <w:sz w:val="22"/>
          <w:szCs w:val="22"/>
        </w:rPr>
        <w:t>11</w:t>
      </w:r>
      <w:r w:rsidR="00565209" w:rsidRPr="00B44110">
        <w:rPr>
          <w:rFonts w:ascii="Arial" w:hAnsi="Arial" w:cs="Arial"/>
          <w:b/>
          <w:sz w:val="22"/>
          <w:szCs w:val="22"/>
        </w:rPr>
        <w:t>. VISTORIA</w:t>
      </w:r>
    </w:p>
    <w:p w14:paraId="24C7072D" w14:textId="77777777" w:rsidR="00565209" w:rsidRPr="00B44110" w:rsidRDefault="00565209" w:rsidP="00565209">
      <w:pPr>
        <w:jc w:val="both"/>
        <w:rPr>
          <w:rFonts w:ascii="Arial" w:hAnsi="Arial" w:cs="Arial"/>
          <w:sz w:val="22"/>
          <w:szCs w:val="22"/>
        </w:rPr>
      </w:pPr>
    </w:p>
    <w:p w14:paraId="026B18ED" w14:textId="5B8CF50B" w:rsidR="00565209" w:rsidRPr="00B44110" w:rsidRDefault="00FE7D3B" w:rsidP="00565209">
      <w:pPr>
        <w:jc w:val="both"/>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.1.</w:t>
      </w:r>
      <w:r w:rsidR="00565209"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56A14357" w:rsidR="00565209" w:rsidRPr="00B44110" w:rsidRDefault="00FE7D3B" w:rsidP="00565209">
      <w:pPr>
        <w:jc w:val="both"/>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.2.</w:t>
      </w:r>
      <w:r w:rsidR="00565209"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5D4BA210"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12</w:t>
      </w:r>
      <w:r w:rsidR="00565209" w:rsidRPr="00B44110">
        <w:rPr>
          <w:rFonts w:ascii="Arial" w:hAnsi="Arial" w:cs="Arial"/>
          <w:b/>
          <w:sz w:val="22"/>
          <w:szCs w:val="22"/>
        </w:rPr>
        <w:t>.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2D0233EC"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.1.</w:t>
      </w:r>
      <w:r w:rsidR="00565209"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23214DE4"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.2.</w:t>
      </w:r>
      <w:r w:rsidR="00565209"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13196313"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2</w:t>
      </w:r>
      <w:r w:rsidRPr="00B44110">
        <w:rPr>
          <w:rFonts w:ascii="Arial" w:hAnsi="Arial" w:cs="Arial"/>
          <w:b/>
          <w:sz w:val="22"/>
          <w:szCs w:val="22"/>
        </w:rPr>
        <w:t>.3.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57C5BAF6"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.4.</w:t>
      </w:r>
      <w:r w:rsidR="00565209"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0ACAA64E"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2</w:t>
      </w:r>
      <w:r w:rsidRPr="00B44110">
        <w:rPr>
          <w:rFonts w:ascii="Arial" w:hAnsi="Arial" w:cs="Arial"/>
          <w:b/>
          <w:sz w:val="22"/>
          <w:szCs w:val="22"/>
        </w:rPr>
        <w:t>.5.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01BA865C"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2</w:t>
      </w:r>
      <w:r w:rsidRPr="00B44110">
        <w:rPr>
          <w:rFonts w:ascii="Arial" w:hAnsi="Arial" w:cs="Arial"/>
          <w:b/>
          <w:sz w:val="22"/>
          <w:szCs w:val="22"/>
        </w:rPr>
        <w:t>.6.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6B3E9ABF"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2</w:t>
      </w:r>
      <w:r w:rsidRPr="00B44110">
        <w:rPr>
          <w:rFonts w:ascii="Arial" w:hAnsi="Arial" w:cs="Arial"/>
          <w:b/>
          <w:sz w:val="22"/>
          <w:szCs w:val="22"/>
        </w:rPr>
        <w:t>.7.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5B88200" w:rsidR="00565209" w:rsidRPr="00B44110" w:rsidRDefault="00FE7D3B" w:rsidP="00565209">
      <w:pPr>
        <w:ind w:right="310"/>
        <w:jc w:val="both"/>
        <w:textAlignment w:val="baseline"/>
        <w:rPr>
          <w:rFonts w:ascii="Arial" w:hAnsi="Arial" w:cs="Arial"/>
          <w:b/>
          <w:sz w:val="22"/>
          <w:szCs w:val="22"/>
        </w:rPr>
      </w:pPr>
      <w:r>
        <w:rPr>
          <w:rFonts w:ascii="Arial" w:hAnsi="Arial" w:cs="Arial"/>
          <w:b/>
          <w:sz w:val="22"/>
          <w:szCs w:val="22"/>
        </w:rPr>
        <w:t>13</w:t>
      </w:r>
      <w:r w:rsidR="00565209" w:rsidRPr="00B44110">
        <w:rPr>
          <w:rFonts w:ascii="Arial" w:hAnsi="Arial" w:cs="Arial"/>
          <w:b/>
          <w:sz w:val="22"/>
          <w:szCs w:val="22"/>
        </w:rPr>
        <w:t>.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F2D1F8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3</w:t>
      </w:r>
      <w:r w:rsidRPr="00B44110">
        <w:rPr>
          <w:rFonts w:ascii="Arial" w:hAnsi="Arial" w:cs="Arial"/>
          <w:b/>
          <w:sz w:val="22"/>
          <w:szCs w:val="22"/>
        </w:rPr>
        <w:t>.1.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0855F43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3</w:t>
      </w:r>
      <w:r w:rsidRPr="00B44110">
        <w:rPr>
          <w:rFonts w:ascii="Arial" w:hAnsi="Arial" w:cs="Arial"/>
          <w:b/>
          <w:sz w:val="22"/>
          <w:szCs w:val="22"/>
        </w:rPr>
        <w:t>.1.1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0EC0A9B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3</w:t>
      </w:r>
      <w:r w:rsidRPr="00B44110">
        <w:rPr>
          <w:rFonts w:ascii="Arial" w:hAnsi="Arial" w:cs="Arial"/>
          <w:b/>
          <w:sz w:val="22"/>
          <w:szCs w:val="22"/>
        </w:rPr>
        <w:t xml:space="preserve">.1.2.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2F411FA3"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.1.3. </w:t>
      </w:r>
      <w:r w:rsidR="00565209"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4CACC957" w:rsidR="00565209" w:rsidRPr="00B44110" w:rsidRDefault="00FE7D3B"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.1.4. </w:t>
      </w:r>
      <w:r w:rsidR="00565209"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04B980F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3</w:t>
      </w:r>
      <w:r w:rsidRPr="00B44110">
        <w:rPr>
          <w:rFonts w:ascii="Arial" w:hAnsi="Arial" w:cs="Arial"/>
          <w:b/>
          <w:sz w:val="22"/>
          <w:szCs w:val="22"/>
        </w:rPr>
        <w:t xml:space="preserve">.1.5.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5D2199D8"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w:t>
      </w:r>
      <w:r w:rsidR="00FE7D3B">
        <w:rPr>
          <w:rFonts w:ascii="Arial" w:hAnsi="Arial" w:cs="Arial"/>
          <w:b/>
          <w:sz w:val="22"/>
          <w:szCs w:val="22"/>
        </w:rPr>
        <w:t>3</w:t>
      </w:r>
      <w:r w:rsidRPr="00B44110">
        <w:rPr>
          <w:rFonts w:ascii="Arial" w:hAnsi="Arial" w:cs="Arial"/>
          <w:b/>
          <w:sz w:val="22"/>
          <w:szCs w:val="22"/>
        </w:rPr>
        <w:t xml:space="preserve">.1.6.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80F355E"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.1.7. </w:t>
      </w:r>
      <w:r w:rsidR="00565209"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F614ACE"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.1.8. </w:t>
      </w:r>
      <w:r w:rsidR="00565209"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0976B5E2"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.1.9. </w:t>
      </w:r>
      <w:r w:rsidR="00565209" w:rsidRPr="00B44110">
        <w:rPr>
          <w:rFonts w:ascii="Arial" w:hAnsi="Arial" w:cs="Arial"/>
          <w:sz w:val="22"/>
          <w:szCs w:val="22"/>
        </w:rPr>
        <w:t>fraudar a dispensa eletrônica ou praticar ato fraudulento na execução do contrato;</w:t>
      </w:r>
    </w:p>
    <w:p w14:paraId="23CA6B49" w14:textId="03B60EEE"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 xml:space="preserve">.1.10. </w:t>
      </w:r>
      <w:r w:rsidR="00565209"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6DA6B20E"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.2.</w:t>
      </w:r>
      <w:r w:rsidR="00565209"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00565209"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23878BCA"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.2.1.</w:t>
      </w:r>
      <w:r w:rsidR="00565209"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082ED2E1"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.2.2.</w:t>
      </w:r>
      <w:r w:rsidR="00565209"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0C305EAE"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.2.3.</w:t>
      </w:r>
      <w:r w:rsidR="00565209"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235449DC"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.3.</w:t>
      </w:r>
      <w:r w:rsidR="00565209"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352C70EB"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.4.</w:t>
      </w:r>
      <w:r w:rsidR="00565209"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3C7CC81A"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.5.</w:t>
      </w:r>
      <w:r w:rsidR="00565209"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3F3CCED1"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.6.</w:t>
      </w:r>
      <w:r w:rsidR="00565209"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44F2D34F"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.7.</w:t>
      </w:r>
      <w:r w:rsidR="00565209"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6FC83BE9"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.8.</w:t>
      </w:r>
      <w:r w:rsidR="00565209"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32258D77"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.9.</w:t>
      </w:r>
      <w:r w:rsidR="00565209"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4AD5B97A"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.10.</w:t>
      </w:r>
      <w:r w:rsidR="00565209"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24702CFC" w:rsidR="00565209" w:rsidRPr="00B44110" w:rsidRDefault="001646E6" w:rsidP="00565209">
      <w:pPr>
        <w:ind w:right="310"/>
        <w:jc w:val="both"/>
        <w:textAlignment w:val="baseline"/>
        <w:rPr>
          <w:rFonts w:ascii="Arial" w:hAnsi="Arial" w:cs="Arial"/>
          <w:b/>
          <w:sz w:val="22"/>
          <w:szCs w:val="22"/>
        </w:rPr>
      </w:pPr>
      <w:r>
        <w:rPr>
          <w:rFonts w:ascii="Arial" w:hAnsi="Arial" w:cs="Arial"/>
          <w:b/>
          <w:sz w:val="22"/>
          <w:szCs w:val="22"/>
        </w:rPr>
        <w:t>14</w:t>
      </w:r>
      <w:r w:rsidR="00565209" w:rsidRPr="00B44110">
        <w:rPr>
          <w:rFonts w:ascii="Arial" w:hAnsi="Arial" w:cs="Arial"/>
          <w:b/>
          <w:sz w:val="22"/>
          <w:szCs w:val="22"/>
        </w:rPr>
        <w:t>.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3EFC8C6A"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.1.</w:t>
      </w:r>
      <w:r w:rsidR="00565209"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14A259CD"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.2.</w:t>
      </w:r>
      <w:r w:rsidR="00565209"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611486D0"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.3.</w:t>
      </w:r>
      <w:r w:rsidR="00565209"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5CF48750"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.4.</w:t>
      </w:r>
      <w:r w:rsidR="00565209"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619C15D4"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.5.</w:t>
      </w:r>
      <w:r w:rsidR="00565209"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245D40CD"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.6.</w:t>
      </w:r>
      <w:r w:rsidR="00565209"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140DBB66"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.7.</w:t>
      </w:r>
      <w:r w:rsidR="00565209"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0142E0D3"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.8.</w:t>
      </w:r>
      <w:r w:rsidR="00565209"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0C925E25"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.9.</w:t>
      </w:r>
      <w:r w:rsidR="00565209"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38A0C2A9"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.10.</w:t>
      </w:r>
      <w:r w:rsidR="00565209"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0681B58F"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.11.</w:t>
      </w:r>
      <w:r w:rsidR="00565209"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0574779" w:rsidR="00565209" w:rsidRPr="00B44110" w:rsidRDefault="001646E6" w:rsidP="00565209">
      <w:pPr>
        <w:ind w:right="310"/>
        <w:jc w:val="both"/>
        <w:textAlignment w:val="baseline"/>
        <w:rPr>
          <w:rFonts w:ascii="Arial" w:hAnsi="Arial" w:cs="Arial"/>
          <w:sz w:val="22"/>
          <w:szCs w:val="22"/>
        </w:rPr>
      </w:pPr>
      <w:r>
        <w:rPr>
          <w:rFonts w:ascii="Arial" w:hAnsi="Arial" w:cs="Arial"/>
          <w:b/>
          <w:sz w:val="22"/>
          <w:szCs w:val="22"/>
        </w:rPr>
        <w:t>14</w:t>
      </w:r>
      <w:r w:rsidR="00565209" w:rsidRPr="00B44110">
        <w:rPr>
          <w:rFonts w:ascii="Arial" w:hAnsi="Arial" w:cs="Arial"/>
          <w:b/>
          <w:sz w:val="22"/>
          <w:szCs w:val="22"/>
        </w:rPr>
        <w:t>.12.</w:t>
      </w:r>
      <w:r w:rsidR="00565209"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2ADBC8C1"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CE32E5">
        <w:rPr>
          <w:rFonts w:ascii="Arial" w:hAnsi="Arial" w:cs="Arial"/>
          <w:sz w:val="22"/>
          <w:szCs w:val="22"/>
        </w:rPr>
        <w:t>22</w:t>
      </w:r>
      <w:r w:rsidRPr="00B44110">
        <w:rPr>
          <w:rFonts w:ascii="Arial" w:hAnsi="Arial" w:cs="Arial"/>
          <w:sz w:val="22"/>
          <w:szCs w:val="22"/>
        </w:rPr>
        <w:t xml:space="preserve"> de </w:t>
      </w:r>
      <w:r w:rsidR="00B44110" w:rsidRPr="00B44110">
        <w:rPr>
          <w:rFonts w:ascii="Arial" w:hAnsi="Arial" w:cs="Arial"/>
          <w:sz w:val="22"/>
          <w:szCs w:val="22"/>
        </w:rPr>
        <w:t>janeiro</w:t>
      </w:r>
      <w:r w:rsidRPr="00B44110">
        <w:rPr>
          <w:rFonts w:ascii="Arial" w:hAnsi="Arial" w:cs="Arial"/>
          <w:sz w:val="22"/>
          <w:szCs w:val="22"/>
        </w:rPr>
        <w:t xml:space="preserve"> de 202</w:t>
      </w:r>
      <w:r w:rsidR="00772046">
        <w:rPr>
          <w:rFonts w:ascii="Arial" w:hAnsi="Arial" w:cs="Arial"/>
          <w:sz w:val="22"/>
          <w:szCs w:val="22"/>
        </w:rPr>
        <w:t>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2C3C4E83"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Pr="00B44110">
        <w:rPr>
          <w:rFonts w:ascii="Arial" w:eastAsia="Calibri" w:hAnsi="Arial" w:cs="Arial"/>
          <w:b/>
          <w:sz w:val="22"/>
          <w:szCs w:val="22"/>
          <w:lang w:eastAsia="en-US"/>
        </w:rPr>
        <w:tab/>
      </w:r>
    </w:p>
    <w:p w14:paraId="6F5D0409" w14:textId="4953662D" w:rsidR="00565209" w:rsidRPr="00B44110" w:rsidRDefault="00CE32E5" w:rsidP="00565209">
      <w:pPr>
        <w:widowControl w:val="0"/>
        <w:autoSpaceDE w:val="0"/>
        <w:autoSpaceDN w:val="0"/>
        <w:adjustRightInd w:val="0"/>
        <w:jc w:val="center"/>
        <w:rPr>
          <w:rFonts w:ascii="Arial" w:hAnsi="Arial" w:cs="Arial"/>
          <w:i/>
          <w:sz w:val="22"/>
          <w:szCs w:val="22"/>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565209"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3234C613" w14:textId="77777777" w:rsidR="001646E6" w:rsidRDefault="001646E6">
      <w:pPr>
        <w:spacing w:after="200" w:line="276" w:lineRule="auto"/>
        <w:rPr>
          <w:rFonts w:ascii="Arial" w:hAnsi="Arial" w:cs="Arial"/>
          <w:b/>
          <w:sz w:val="22"/>
          <w:szCs w:val="22"/>
        </w:rPr>
      </w:pPr>
      <w:r>
        <w:rPr>
          <w:rFonts w:ascii="Arial" w:hAnsi="Arial" w:cs="Arial"/>
          <w:b/>
          <w:sz w:val="22"/>
          <w:szCs w:val="22"/>
        </w:rPr>
        <w:br w:type="page"/>
      </w:r>
    </w:p>
    <w:p w14:paraId="3ACE9EC0" w14:textId="5F5DF2B4"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6FED9EFE"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QUALIFICAÇÃO TÉCNICA</w:t>
      </w:r>
    </w:p>
    <w:p w14:paraId="09F96BFD" w14:textId="77777777" w:rsidR="00565209" w:rsidRPr="00B44110" w:rsidRDefault="00565209" w:rsidP="00565209">
      <w:pPr>
        <w:ind w:right="310"/>
        <w:jc w:val="both"/>
        <w:textAlignment w:val="baseline"/>
        <w:rPr>
          <w:rFonts w:ascii="Arial" w:hAnsi="Arial" w:cs="Arial"/>
          <w:b/>
          <w:sz w:val="22"/>
          <w:szCs w:val="22"/>
        </w:rPr>
      </w:pPr>
    </w:p>
    <w:p w14:paraId="40B08A2C" w14:textId="77777777" w:rsidR="00565209" w:rsidRPr="00B44110" w:rsidRDefault="00565209" w:rsidP="00565209">
      <w:pPr>
        <w:numPr>
          <w:ilvl w:val="1"/>
          <w:numId w:val="18"/>
        </w:numPr>
        <w:ind w:left="573" w:right="313"/>
        <w:jc w:val="both"/>
        <w:textAlignment w:val="baseline"/>
        <w:rPr>
          <w:rFonts w:ascii="Arial" w:hAnsi="Arial" w:cs="Arial"/>
          <w:sz w:val="22"/>
          <w:szCs w:val="22"/>
        </w:rPr>
      </w:pPr>
      <w:r w:rsidRPr="00B44110">
        <w:rPr>
          <w:rFonts w:ascii="Arial" w:hAnsi="Arial" w:cs="Arial"/>
          <w:sz w:val="22"/>
          <w:szCs w:val="22"/>
        </w:rPr>
        <w:t>Comprovação de aptidão para a prestação dos serviços em características, quantidades e prazos compatíveis com o objeto desta dispensa, ou com o item pertinente, mediante a apresentação de atestado(s) fornecido(s) por pessoas jurídicas de direito público ou privado.</w:t>
      </w:r>
    </w:p>
    <w:p w14:paraId="4FB19BD7" w14:textId="77777777" w:rsidR="00565209" w:rsidRPr="00B44110" w:rsidRDefault="00565209" w:rsidP="00565209">
      <w:pPr>
        <w:numPr>
          <w:ilvl w:val="1"/>
          <w:numId w:val="18"/>
        </w:numPr>
        <w:ind w:left="573" w:right="321"/>
        <w:jc w:val="both"/>
        <w:textAlignment w:val="baseline"/>
        <w:rPr>
          <w:rFonts w:ascii="Arial" w:hAnsi="Arial" w:cs="Arial"/>
          <w:sz w:val="22"/>
          <w:szCs w:val="22"/>
        </w:rPr>
      </w:pPr>
      <w:r w:rsidRPr="00B44110">
        <w:rPr>
          <w:rFonts w:ascii="Arial" w:hAnsi="Arial" w:cs="Arial"/>
          <w:sz w:val="22"/>
          <w:szCs w:val="22"/>
        </w:rPr>
        <w:t>Os atestados deverão referir-se a serviços prestados no âmbito de sua atividade econômica principal ou secundária especificadas no contrato social vigente;</w:t>
      </w:r>
    </w:p>
    <w:p w14:paraId="6BB4697C" w14:textId="77777777" w:rsidR="00565209" w:rsidRPr="00B44110" w:rsidRDefault="00565209" w:rsidP="00565209">
      <w:pPr>
        <w:numPr>
          <w:ilvl w:val="1"/>
          <w:numId w:val="18"/>
        </w:numPr>
        <w:ind w:left="493" w:right="314"/>
        <w:jc w:val="both"/>
        <w:textAlignment w:val="baseline"/>
        <w:rPr>
          <w:rFonts w:ascii="Arial" w:hAnsi="Arial" w:cs="Arial"/>
          <w:sz w:val="22"/>
          <w:szCs w:val="22"/>
        </w:rPr>
      </w:pPr>
      <w:r w:rsidRPr="00B44110">
        <w:rPr>
          <w:rFonts w:ascii="Arial" w:hAnsi="Arial" w:cs="Arial"/>
          <w:sz w:val="22"/>
          <w:szCs w:val="22"/>
        </w:rPr>
        <w:t>O Prestador de Serviço disponibilizará todas as informações necessárias à comprovação da legitimidade dos atestados, apresentando, dentre outros documentos, cópia do contrato que deu suporte à contratação, endereço atual da contratante e local em que foram prestados os serviços.</w:t>
      </w:r>
    </w:p>
    <w:p w14:paraId="033FA6D9" w14:textId="77777777" w:rsidR="00F76C02" w:rsidRPr="00B44110" w:rsidRDefault="00F76C02" w:rsidP="00F76C02">
      <w:pPr>
        <w:tabs>
          <w:tab w:val="left" w:pos="0"/>
        </w:tabs>
        <w:jc w:val="center"/>
        <w:rPr>
          <w:rFonts w:ascii="Arial" w:hAnsi="Arial" w:cs="Arial"/>
          <w:sz w:val="22"/>
          <w:szCs w:val="22"/>
        </w:rPr>
      </w:pPr>
    </w:p>
    <w:p w14:paraId="3BF07C6B" w14:textId="178E5C7E"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CE32E5">
        <w:rPr>
          <w:rFonts w:ascii="Arial" w:hAnsi="Arial" w:cs="Arial"/>
          <w:sz w:val="22"/>
          <w:szCs w:val="22"/>
        </w:rPr>
        <w:t>22</w:t>
      </w:r>
      <w:r w:rsidRPr="00B44110">
        <w:rPr>
          <w:rFonts w:ascii="Arial" w:hAnsi="Arial" w:cs="Arial"/>
          <w:sz w:val="22"/>
          <w:szCs w:val="22"/>
        </w:rPr>
        <w:t xml:space="preserve"> de </w:t>
      </w:r>
      <w:r w:rsidR="00772046">
        <w:rPr>
          <w:rFonts w:ascii="Arial" w:hAnsi="Arial" w:cs="Arial"/>
          <w:sz w:val="22"/>
          <w:szCs w:val="22"/>
        </w:rPr>
        <w:t>janeiro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7F7C4293"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p>
    <w:p w14:paraId="7625FEBD" w14:textId="64E968B1" w:rsidR="00F76C02" w:rsidRPr="00B44110" w:rsidRDefault="00CE32E5" w:rsidP="00F76C02">
      <w:pPr>
        <w:widowControl w:val="0"/>
        <w:autoSpaceDE w:val="0"/>
        <w:autoSpaceDN w:val="0"/>
        <w:adjustRightInd w:val="0"/>
        <w:jc w:val="center"/>
        <w:rPr>
          <w:rFonts w:ascii="Arial" w:hAnsi="Arial" w:cs="Arial"/>
          <w:sz w:val="22"/>
          <w:szCs w:val="22"/>
          <w:lang w:val="pt"/>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bookmarkStart w:id="0" w:name="_GoBack"/>
      <w:r w:rsidR="00F76C02" w:rsidRPr="00B44110">
        <w:rPr>
          <w:rFonts w:ascii="Arial" w:eastAsia="Calibri" w:hAnsi="Arial" w:cs="Arial"/>
          <w:b/>
          <w:sz w:val="22"/>
          <w:szCs w:val="22"/>
          <w:lang w:eastAsia="en-US"/>
        </w:rPr>
        <w:t>Agente</w:t>
      </w:r>
      <w:bookmarkEnd w:id="0"/>
      <w:r w:rsidR="00F76C02" w:rsidRPr="00B44110">
        <w:rPr>
          <w:rFonts w:ascii="Arial" w:eastAsia="Calibri" w:hAnsi="Arial" w:cs="Arial"/>
          <w:b/>
          <w:sz w:val="22"/>
          <w:szCs w:val="22"/>
          <w:lang w:eastAsia="en-US"/>
        </w:rPr>
        <w:t xml:space="preserv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BC5529E" w14:textId="69624369" w:rsidR="00F76C02" w:rsidRPr="00B44110" w:rsidRDefault="00E230B8" w:rsidP="00CE32E5">
      <w:pPr>
        <w:spacing w:after="200" w:line="276" w:lineRule="auto"/>
        <w:jc w:val="center"/>
        <w:rPr>
          <w:rFonts w:ascii="Arial" w:hAnsi="Arial" w:cs="Arial"/>
          <w:b/>
          <w:bCs/>
          <w:sz w:val="22"/>
          <w:szCs w:val="22"/>
          <w:lang w:val="pt"/>
        </w:rPr>
      </w:pPr>
      <w:r>
        <w:rPr>
          <w:rFonts w:ascii="Arial" w:hAnsi="Arial" w:cs="Arial"/>
          <w:b/>
          <w:bCs/>
          <w:sz w:val="22"/>
          <w:szCs w:val="22"/>
          <w:lang w:val="pt"/>
        </w:rPr>
        <w:br w:type="page"/>
      </w:r>
      <w:r w:rsidR="00F76C02" w:rsidRPr="00B44110">
        <w:rPr>
          <w:rFonts w:ascii="Arial" w:hAnsi="Arial" w:cs="Arial"/>
          <w:b/>
          <w:bCs/>
          <w:sz w:val="22"/>
          <w:szCs w:val="22"/>
          <w:lang w:val="pt"/>
        </w:rPr>
        <w:t>PROCESSO Nº. 0</w:t>
      </w:r>
      <w:r w:rsidR="001646E6">
        <w:rPr>
          <w:rFonts w:ascii="Arial" w:hAnsi="Arial" w:cs="Arial"/>
          <w:b/>
          <w:bCs/>
          <w:sz w:val="22"/>
          <w:szCs w:val="22"/>
          <w:lang w:val="pt"/>
        </w:rPr>
        <w:t>2</w:t>
      </w:r>
      <w:r w:rsidR="00EB1E5E">
        <w:rPr>
          <w:rFonts w:ascii="Arial" w:hAnsi="Arial" w:cs="Arial"/>
          <w:b/>
          <w:bCs/>
          <w:sz w:val="22"/>
          <w:szCs w:val="22"/>
          <w:lang w:val="pt"/>
        </w:rPr>
        <w:t>/2025</w:t>
      </w:r>
    </w:p>
    <w:p w14:paraId="3BFF7055" w14:textId="1217848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1646E6">
        <w:rPr>
          <w:rFonts w:ascii="Arial" w:hAnsi="Arial" w:cs="Arial"/>
          <w:b/>
          <w:bCs/>
          <w:sz w:val="22"/>
          <w:szCs w:val="22"/>
          <w:lang w:val="pt"/>
        </w:rPr>
        <w:t>2</w:t>
      </w:r>
      <w:r w:rsidR="00565209" w:rsidRPr="00B44110">
        <w:rPr>
          <w:rFonts w:ascii="Arial" w:hAnsi="Arial" w:cs="Arial"/>
          <w:b/>
          <w:bCs/>
          <w:sz w:val="22"/>
          <w:szCs w:val="22"/>
          <w:lang w:val="pt"/>
        </w:rPr>
        <w:t>/</w:t>
      </w:r>
      <w:r w:rsidR="00EB1E5E">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1646E6" w:rsidRDefault="00F76C02" w:rsidP="00F76C02">
      <w:pPr>
        <w:tabs>
          <w:tab w:val="left" w:pos="284"/>
        </w:tabs>
        <w:autoSpaceDE w:val="0"/>
        <w:autoSpaceDN w:val="0"/>
        <w:adjustRightInd w:val="0"/>
        <w:ind w:right="-1"/>
        <w:jc w:val="both"/>
        <w:rPr>
          <w:rFonts w:ascii="Arial" w:hAnsi="Arial" w:cs="Arial"/>
          <w:sz w:val="22"/>
          <w:szCs w:val="22"/>
          <w:lang w:val="pt"/>
        </w:rPr>
      </w:pPr>
    </w:p>
    <w:p w14:paraId="6919AE69" w14:textId="77777777" w:rsidR="001646E6" w:rsidRPr="001646E6" w:rsidRDefault="00F76C02" w:rsidP="001646E6">
      <w:pPr>
        <w:ind w:right="317"/>
        <w:jc w:val="both"/>
        <w:rPr>
          <w:rFonts w:ascii="Arial" w:hAnsi="Arial" w:cs="Arial"/>
          <w:sz w:val="22"/>
          <w:szCs w:val="22"/>
        </w:rPr>
      </w:pPr>
      <w:r w:rsidRPr="001646E6">
        <w:rPr>
          <w:rFonts w:ascii="Arial" w:hAnsi="Arial" w:cs="Arial"/>
          <w:b/>
          <w:bCs/>
          <w:sz w:val="22"/>
          <w:szCs w:val="22"/>
          <w:lang w:val="pt"/>
        </w:rPr>
        <w:t>Objeto:</w:t>
      </w:r>
      <w:r w:rsidRPr="001646E6">
        <w:rPr>
          <w:rFonts w:ascii="Arial" w:hAnsi="Arial" w:cs="Arial"/>
          <w:sz w:val="22"/>
          <w:szCs w:val="22"/>
          <w:lang w:val="pt"/>
        </w:rPr>
        <w:t xml:space="preserve"> </w:t>
      </w:r>
      <w:r w:rsidR="001646E6" w:rsidRPr="001646E6">
        <w:rPr>
          <w:rFonts w:ascii="Arial" w:hAnsi="Arial" w:cs="Arial"/>
          <w:sz w:val="22"/>
          <w:szCs w:val="22"/>
        </w:rPr>
        <w:t>Contratação de empresa para prestação de serviços de apoio administrativo na condução dos processos administrativos da Câmara Municipal, notadamente, processos de licitação, digitação de documentos.</w:t>
      </w:r>
    </w:p>
    <w:p w14:paraId="1944ECCE" w14:textId="77777777" w:rsidR="001646E6" w:rsidRPr="001646E6" w:rsidRDefault="001646E6" w:rsidP="001646E6">
      <w:pPr>
        <w:ind w:right="317"/>
        <w:jc w:val="both"/>
        <w:rPr>
          <w:rFonts w:ascii="Arial" w:hAnsi="Arial" w:cs="Arial"/>
          <w:sz w:val="22"/>
          <w:szCs w:val="22"/>
        </w:rPr>
      </w:pPr>
    </w:p>
    <w:p w14:paraId="40EEEDD8" w14:textId="6931F679" w:rsidR="001646E6" w:rsidRPr="001646E6" w:rsidRDefault="001646E6" w:rsidP="001646E6">
      <w:pPr>
        <w:jc w:val="both"/>
        <w:rPr>
          <w:rFonts w:ascii="Arial" w:hAnsi="Arial" w:cs="Arial"/>
          <w:b/>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993"/>
        <w:gridCol w:w="850"/>
        <w:gridCol w:w="3827"/>
        <w:gridCol w:w="1560"/>
        <w:gridCol w:w="1701"/>
      </w:tblGrid>
      <w:tr w:rsidR="001646E6" w:rsidRPr="001646E6" w14:paraId="14B76708" w14:textId="77777777" w:rsidTr="00FD1B7D">
        <w:trPr>
          <w:trHeight w:val="773"/>
        </w:trPr>
        <w:tc>
          <w:tcPr>
            <w:tcW w:w="675" w:type="dxa"/>
            <w:shd w:val="clear" w:color="auto" w:fill="D9D9D9"/>
            <w:vAlign w:val="center"/>
          </w:tcPr>
          <w:p w14:paraId="29275056" w14:textId="77777777" w:rsidR="001646E6" w:rsidRPr="001646E6" w:rsidRDefault="001646E6" w:rsidP="00FD1B7D">
            <w:pPr>
              <w:jc w:val="center"/>
              <w:rPr>
                <w:rFonts w:ascii="Arial" w:hAnsi="Arial" w:cs="Arial"/>
                <w:b/>
                <w:sz w:val="22"/>
                <w:szCs w:val="22"/>
              </w:rPr>
            </w:pPr>
            <w:r w:rsidRPr="001646E6">
              <w:rPr>
                <w:rFonts w:ascii="Arial" w:hAnsi="Arial" w:cs="Arial"/>
                <w:b/>
                <w:sz w:val="22"/>
                <w:szCs w:val="22"/>
              </w:rPr>
              <w:t>Item</w:t>
            </w:r>
          </w:p>
        </w:tc>
        <w:tc>
          <w:tcPr>
            <w:tcW w:w="993" w:type="dxa"/>
            <w:shd w:val="clear" w:color="auto" w:fill="D9D9D9"/>
            <w:vAlign w:val="center"/>
          </w:tcPr>
          <w:p w14:paraId="6441B70D" w14:textId="77777777" w:rsidR="001646E6" w:rsidRPr="001646E6" w:rsidRDefault="001646E6" w:rsidP="00FD1B7D">
            <w:pPr>
              <w:jc w:val="center"/>
              <w:rPr>
                <w:rFonts w:ascii="Arial" w:hAnsi="Arial" w:cs="Arial"/>
                <w:b/>
                <w:bCs/>
                <w:color w:val="000000"/>
                <w:sz w:val="22"/>
                <w:szCs w:val="22"/>
              </w:rPr>
            </w:pPr>
            <w:r w:rsidRPr="001646E6">
              <w:rPr>
                <w:rFonts w:ascii="Arial" w:hAnsi="Arial" w:cs="Arial"/>
                <w:b/>
                <w:bCs/>
                <w:color w:val="000000"/>
                <w:sz w:val="22"/>
                <w:szCs w:val="22"/>
              </w:rPr>
              <w:t>Quant.</w:t>
            </w:r>
          </w:p>
        </w:tc>
        <w:tc>
          <w:tcPr>
            <w:tcW w:w="850" w:type="dxa"/>
            <w:tcBorders>
              <w:right w:val="single" w:sz="4" w:space="0" w:color="auto"/>
            </w:tcBorders>
            <w:shd w:val="clear" w:color="auto" w:fill="D9D9D9"/>
            <w:vAlign w:val="center"/>
          </w:tcPr>
          <w:p w14:paraId="48185653" w14:textId="77777777" w:rsidR="001646E6" w:rsidRPr="001646E6" w:rsidRDefault="001646E6" w:rsidP="00FD1B7D">
            <w:pPr>
              <w:jc w:val="center"/>
              <w:rPr>
                <w:rFonts w:ascii="Arial" w:hAnsi="Arial" w:cs="Arial"/>
                <w:b/>
                <w:bCs/>
                <w:color w:val="000000"/>
                <w:sz w:val="22"/>
                <w:szCs w:val="22"/>
              </w:rPr>
            </w:pPr>
            <w:r w:rsidRPr="001646E6">
              <w:rPr>
                <w:rFonts w:ascii="Arial" w:hAnsi="Arial" w:cs="Arial"/>
                <w:b/>
                <w:bCs/>
                <w:color w:val="000000"/>
                <w:sz w:val="22"/>
                <w:szCs w:val="22"/>
              </w:rPr>
              <w:t>Unid.</w:t>
            </w:r>
          </w:p>
        </w:tc>
        <w:tc>
          <w:tcPr>
            <w:tcW w:w="3827" w:type="dxa"/>
            <w:tcBorders>
              <w:left w:val="single" w:sz="4" w:space="0" w:color="auto"/>
            </w:tcBorders>
            <w:shd w:val="clear" w:color="auto" w:fill="D9D9D9"/>
            <w:vAlign w:val="center"/>
          </w:tcPr>
          <w:p w14:paraId="68B47781" w14:textId="77777777" w:rsidR="001646E6" w:rsidRPr="001646E6" w:rsidRDefault="001646E6" w:rsidP="00FD1B7D">
            <w:pPr>
              <w:jc w:val="center"/>
              <w:rPr>
                <w:rFonts w:ascii="Arial" w:hAnsi="Arial" w:cs="Arial"/>
                <w:b/>
                <w:sz w:val="22"/>
                <w:szCs w:val="22"/>
              </w:rPr>
            </w:pPr>
            <w:r w:rsidRPr="001646E6">
              <w:rPr>
                <w:rFonts w:ascii="Arial" w:hAnsi="Arial" w:cs="Arial"/>
                <w:b/>
                <w:sz w:val="22"/>
                <w:szCs w:val="22"/>
              </w:rPr>
              <w:t>Descrição</w:t>
            </w:r>
          </w:p>
        </w:tc>
        <w:tc>
          <w:tcPr>
            <w:tcW w:w="1560" w:type="dxa"/>
            <w:shd w:val="clear" w:color="auto" w:fill="D9D9D9"/>
            <w:vAlign w:val="center"/>
          </w:tcPr>
          <w:p w14:paraId="6E598965" w14:textId="77777777" w:rsidR="001646E6" w:rsidRPr="001646E6" w:rsidRDefault="001646E6" w:rsidP="00FD1B7D">
            <w:pPr>
              <w:jc w:val="center"/>
              <w:rPr>
                <w:rFonts w:ascii="Arial" w:hAnsi="Arial" w:cs="Arial"/>
                <w:b/>
                <w:bCs/>
                <w:color w:val="000000"/>
                <w:sz w:val="22"/>
                <w:szCs w:val="22"/>
              </w:rPr>
            </w:pPr>
            <w:r w:rsidRPr="001646E6">
              <w:rPr>
                <w:rFonts w:ascii="Arial" w:hAnsi="Arial" w:cs="Arial"/>
                <w:b/>
                <w:bCs/>
                <w:color w:val="000000"/>
                <w:sz w:val="22"/>
                <w:szCs w:val="22"/>
              </w:rPr>
              <w:t>Valor unitário</w:t>
            </w:r>
          </w:p>
        </w:tc>
        <w:tc>
          <w:tcPr>
            <w:tcW w:w="1701" w:type="dxa"/>
            <w:shd w:val="clear" w:color="auto" w:fill="D9D9D9"/>
            <w:vAlign w:val="center"/>
          </w:tcPr>
          <w:p w14:paraId="7BF8D95B" w14:textId="77777777" w:rsidR="001646E6" w:rsidRPr="001646E6" w:rsidRDefault="001646E6" w:rsidP="00FD1B7D">
            <w:pPr>
              <w:jc w:val="center"/>
              <w:rPr>
                <w:rFonts w:ascii="Arial" w:hAnsi="Arial" w:cs="Arial"/>
                <w:b/>
                <w:bCs/>
                <w:color w:val="000000"/>
                <w:sz w:val="22"/>
                <w:szCs w:val="22"/>
              </w:rPr>
            </w:pPr>
            <w:r w:rsidRPr="001646E6">
              <w:rPr>
                <w:rFonts w:ascii="Arial" w:hAnsi="Arial" w:cs="Arial"/>
                <w:b/>
                <w:bCs/>
                <w:color w:val="000000"/>
                <w:sz w:val="22"/>
                <w:szCs w:val="22"/>
              </w:rPr>
              <w:t>Valor total</w:t>
            </w:r>
          </w:p>
        </w:tc>
      </w:tr>
      <w:tr w:rsidR="001646E6" w:rsidRPr="001646E6" w14:paraId="12991BC0" w14:textId="77777777" w:rsidTr="00FD1B7D">
        <w:trPr>
          <w:trHeight w:val="421"/>
        </w:trPr>
        <w:tc>
          <w:tcPr>
            <w:tcW w:w="675" w:type="dxa"/>
            <w:shd w:val="clear" w:color="auto" w:fill="auto"/>
            <w:vAlign w:val="center"/>
          </w:tcPr>
          <w:p w14:paraId="5AF851D5" w14:textId="77777777" w:rsidR="001646E6" w:rsidRPr="001646E6" w:rsidRDefault="001646E6" w:rsidP="00FD1B7D">
            <w:pPr>
              <w:jc w:val="center"/>
              <w:rPr>
                <w:rFonts w:ascii="Arial" w:hAnsi="Arial" w:cs="Arial"/>
                <w:sz w:val="22"/>
                <w:szCs w:val="22"/>
              </w:rPr>
            </w:pPr>
            <w:r w:rsidRPr="001646E6">
              <w:rPr>
                <w:rFonts w:ascii="Arial" w:hAnsi="Arial" w:cs="Arial"/>
                <w:sz w:val="22"/>
                <w:szCs w:val="22"/>
              </w:rPr>
              <w:t>1</w:t>
            </w:r>
          </w:p>
        </w:tc>
        <w:tc>
          <w:tcPr>
            <w:tcW w:w="993" w:type="dxa"/>
            <w:vAlign w:val="center"/>
          </w:tcPr>
          <w:p w14:paraId="03682D80" w14:textId="77777777" w:rsidR="001646E6" w:rsidRPr="001646E6" w:rsidRDefault="001646E6" w:rsidP="00FD1B7D">
            <w:pPr>
              <w:jc w:val="center"/>
              <w:rPr>
                <w:rFonts w:ascii="Arial" w:hAnsi="Arial" w:cs="Arial"/>
                <w:sz w:val="22"/>
                <w:szCs w:val="22"/>
              </w:rPr>
            </w:pPr>
            <w:r w:rsidRPr="001646E6">
              <w:rPr>
                <w:rFonts w:ascii="Arial" w:hAnsi="Arial" w:cs="Arial"/>
                <w:sz w:val="22"/>
                <w:szCs w:val="22"/>
              </w:rPr>
              <w:t>11</w:t>
            </w:r>
          </w:p>
        </w:tc>
        <w:tc>
          <w:tcPr>
            <w:tcW w:w="850" w:type="dxa"/>
            <w:tcBorders>
              <w:right w:val="single" w:sz="4" w:space="0" w:color="auto"/>
            </w:tcBorders>
            <w:shd w:val="clear" w:color="auto" w:fill="auto"/>
            <w:vAlign w:val="center"/>
          </w:tcPr>
          <w:p w14:paraId="4EA6482A" w14:textId="77777777" w:rsidR="001646E6" w:rsidRPr="001646E6" w:rsidRDefault="001646E6" w:rsidP="00FD1B7D">
            <w:pPr>
              <w:jc w:val="center"/>
              <w:rPr>
                <w:rFonts w:ascii="Arial" w:hAnsi="Arial" w:cs="Arial"/>
                <w:sz w:val="22"/>
                <w:szCs w:val="22"/>
              </w:rPr>
            </w:pPr>
            <w:r w:rsidRPr="001646E6">
              <w:rPr>
                <w:rFonts w:ascii="Arial" w:hAnsi="Arial" w:cs="Arial"/>
                <w:sz w:val="22"/>
                <w:szCs w:val="22"/>
              </w:rPr>
              <w:t>MÊS</w:t>
            </w:r>
          </w:p>
        </w:tc>
        <w:tc>
          <w:tcPr>
            <w:tcW w:w="3827" w:type="dxa"/>
            <w:tcBorders>
              <w:left w:val="single" w:sz="4" w:space="0" w:color="auto"/>
            </w:tcBorders>
            <w:shd w:val="clear" w:color="auto" w:fill="auto"/>
            <w:vAlign w:val="center"/>
          </w:tcPr>
          <w:p w14:paraId="5C2B43BB" w14:textId="77777777" w:rsidR="001646E6" w:rsidRPr="001646E6" w:rsidRDefault="001646E6" w:rsidP="00FD1B7D">
            <w:pPr>
              <w:jc w:val="both"/>
              <w:rPr>
                <w:rFonts w:ascii="Arial" w:hAnsi="Arial" w:cs="Arial"/>
                <w:sz w:val="22"/>
                <w:szCs w:val="22"/>
              </w:rPr>
            </w:pPr>
            <w:r w:rsidRPr="001646E6">
              <w:rPr>
                <w:rFonts w:ascii="Arial" w:hAnsi="Arial" w:cs="Arial"/>
                <w:sz w:val="22"/>
                <w:szCs w:val="22"/>
              </w:rPr>
              <w:t>Prestação de serviços de apoio administrativo na condução dos processos administrativos da Câmara Municipal, notadamente, processos de licitação, digitação de documentos</w:t>
            </w:r>
          </w:p>
        </w:tc>
        <w:tc>
          <w:tcPr>
            <w:tcW w:w="1560" w:type="dxa"/>
            <w:shd w:val="clear" w:color="auto" w:fill="auto"/>
            <w:vAlign w:val="center"/>
          </w:tcPr>
          <w:p w14:paraId="02D239EC" w14:textId="4D5F67C4" w:rsidR="001646E6" w:rsidRPr="001646E6" w:rsidRDefault="001646E6" w:rsidP="00FD1B7D">
            <w:pPr>
              <w:jc w:val="center"/>
              <w:rPr>
                <w:rFonts w:ascii="Arial" w:hAnsi="Arial" w:cs="Arial"/>
                <w:sz w:val="22"/>
                <w:szCs w:val="22"/>
              </w:rPr>
            </w:pPr>
          </w:p>
        </w:tc>
        <w:tc>
          <w:tcPr>
            <w:tcW w:w="1701" w:type="dxa"/>
            <w:shd w:val="clear" w:color="auto" w:fill="auto"/>
            <w:vAlign w:val="center"/>
          </w:tcPr>
          <w:p w14:paraId="5604D62B" w14:textId="142E4024" w:rsidR="001646E6" w:rsidRPr="001646E6" w:rsidRDefault="001646E6" w:rsidP="00FD1B7D">
            <w:pPr>
              <w:jc w:val="center"/>
              <w:rPr>
                <w:rFonts w:ascii="Arial" w:hAnsi="Arial" w:cs="Arial"/>
                <w:sz w:val="22"/>
                <w:szCs w:val="22"/>
              </w:rPr>
            </w:pPr>
          </w:p>
        </w:tc>
      </w:tr>
    </w:tbl>
    <w:p w14:paraId="2A3025FE" w14:textId="77777777" w:rsidR="001646E6" w:rsidRPr="001646E6" w:rsidRDefault="001646E6" w:rsidP="001646E6">
      <w:pPr>
        <w:tabs>
          <w:tab w:val="left" w:pos="284"/>
        </w:tabs>
        <w:autoSpaceDE w:val="0"/>
        <w:autoSpaceDN w:val="0"/>
        <w:adjustRightInd w:val="0"/>
        <w:ind w:right="-1"/>
        <w:jc w:val="both"/>
        <w:rPr>
          <w:rFonts w:ascii="Arial" w:hAnsi="Arial" w:cs="Arial"/>
          <w:sz w:val="22"/>
          <w:szCs w:val="22"/>
          <w:lang w:val="pt"/>
        </w:rPr>
      </w:pPr>
    </w:p>
    <w:p w14:paraId="70DC32F4" w14:textId="12B9485C" w:rsidR="00F76C02" w:rsidRPr="00B44110" w:rsidRDefault="00F76C02" w:rsidP="001646E6">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AC4332A"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772046">
        <w:rPr>
          <w:rFonts w:ascii="Arial" w:hAnsi="Arial" w:cs="Arial"/>
          <w:sz w:val="22"/>
          <w:szCs w:val="22"/>
          <w:lang w:val="pt"/>
        </w:rPr>
        <w:t>________________ de 2025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642C4A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7E954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531AC7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DB3469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1A839D8"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4878E545"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100653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7374D4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4F9BE73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2B022E0E"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0DAD995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7E078A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9821EB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FE0860D"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13839670"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A2F07F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950D72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D5A15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40093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15303CE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769C7CA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C67B2C4"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A0B9396" w14:textId="75506D77" w:rsidR="004E1CB6" w:rsidRPr="00F76C02" w:rsidRDefault="00772046" w:rsidP="004E1CB6">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 xml:space="preserve">PROCESSO Nº. </w:t>
      </w:r>
      <w:r w:rsidR="001646E6">
        <w:rPr>
          <w:rFonts w:ascii="Arial" w:hAnsi="Arial" w:cs="Arial"/>
          <w:b/>
          <w:bCs/>
          <w:sz w:val="22"/>
          <w:szCs w:val="22"/>
          <w:lang w:val="pt"/>
        </w:rPr>
        <w:t>02</w:t>
      </w:r>
      <w:r>
        <w:rPr>
          <w:rFonts w:ascii="Arial" w:hAnsi="Arial" w:cs="Arial"/>
          <w:b/>
          <w:bCs/>
          <w:sz w:val="22"/>
          <w:szCs w:val="22"/>
          <w:lang w:val="pt"/>
        </w:rPr>
        <w:t>/2025</w:t>
      </w:r>
    </w:p>
    <w:p w14:paraId="6929AC6B" w14:textId="56C17EC3" w:rsidR="004E1CB6" w:rsidRPr="00F76C02" w:rsidRDefault="004E1CB6" w:rsidP="004E1CB6">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 xml:space="preserve">DISPENSA Nº. </w:t>
      </w:r>
      <w:r w:rsidR="001646E6">
        <w:rPr>
          <w:rFonts w:ascii="Arial" w:hAnsi="Arial" w:cs="Arial"/>
          <w:b/>
          <w:bCs/>
          <w:sz w:val="22"/>
          <w:szCs w:val="22"/>
          <w:lang w:val="pt"/>
        </w:rPr>
        <w:t>02</w:t>
      </w:r>
      <w:r w:rsidR="00772046">
        <w:rPr>
          <w:rFonts w:ascii="Arial" w:hAnsi="Arial" w:cs="Arial"/>
          <w:b/>
          <w:bCs/>
          <w:sz w:val="22"/>
          <w:szCs w:val="22"/>
          <w:lang w:val="pt"/>
        </w:rPr>
        <w:t>/2025</w:t>
      </w:r>
    </w:p>
    <w:p w14:paraId="7EC87748" w14:textId="77777777" w:rsidR="004E1CB6" w:rsidRPr="00F76C02" w:rsidRDefault="004E1CB6" w:rsidP="004E1CB6">
      <w:pPr>
        <w:tabs>
          <w:tab w:val="left" w:pos="284"/>
        </w:tabs>
        <w:autoSpaceDE w:val="0"/>
        <w:autoSpaceDN w:val="0"/>
        <w:adjustRightInd w:val="0"/>
        <w:jc w:val="center"/>
        <w:rPr>
          <w:rFonts w:ascii="Arial" w:hAnsi="Arial" w:cs="Arial"/>
          <w:sz w:val="22"/>
          <w:szCs w:val="22"/>
          <w:lang w:val="pt"/>
        </w:rPr>
      </w:pPr>
    </w:p>
    <w:p w14:paraId="6B95135E"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5114F40F" w14:textId="77777777" w:rsidR="004E1CB6" w:rsidRPr="00F76C02" w:rsidRDefault="004E1CB6" w:rsidP="004E1CB6">
      <w:pPr>
        <w:tabs>
          <w:tab w:val="left" w:pos="284"/>
        </w:tabs>
        <w:ind w:left="2836"/>
        <w:jc w:val="both"/>
        <w:rPr>
          <w:rFonts w:ascii="Arial" w:hAnsi="Arial" w:cs="Arial"/>
          <w:b/>
          <w:bCs/>
          <w:sz w:val="22"/>
          <w:szCs w:val="22"/>
        </w:rPr>
      </w:pPr>
    </w:p>
    <w:p w14:paraId="2BE3C77B"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5C687FF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30020F1B" w14:textId="77777777" w:rsidR="004E1CB6" w:rsidRPr="00F76C02" w:rsidRDefault="004E1CB6" w:rsidP="004E1CB6">
      <w:pPr>
        <w:tabs>
          <w:tab w:val="left" w:pos="284"/>
        </w:tabs>
        <w:jc w:val="both"/>
        <w:rPr>
          <w:rFonts w:ascii="Arial" w:hAnsi="Arial" w:cs="Arial"/>
          <w:sz w:val="22"/>
          <w:szCs w:val="22"/>
        </w:rPr>
      </w:pPr>
    </w:p>
    <w:p w14:paraId="5A0A599F" w14:textId="77777777" w:rsidR="004E1CB6" w:rsidRPr="00F76C02" w:rsidRDefault="004E1CB6" w:rsidP="004E1CB6">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5A1D084B" w14:textId="77777777" w:rsidR="004E1CB6" w:rsidRPr="00F76C02" w:rsidRDefault="004E1CB6" w:rsidP="004E1CB6">
      <w:pPr>
        <w:tabs>
          <w:tab w:val="left" w:pos="284"/>
        </w:tabs>
        <w:jc w:val="both"/>
        <w:rPr>
          <w:rFonts w:ascii="Arial" w:hAnsi="Arial" w:cs="Arial"/>
          <w:sz w:val="22"/>
          <w:szCs w:val="22"/>
        </w:rPr>
      </w:pPr>
    </w:p>
    <w:p w14:paraId="26D415CA"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3154B97B" w14:textId="1413DCC0" w:rsidR="004E1CB6" w:rsidRPr="00F76C02" w:rsidRDefault="004E1CB6" w:rsidP="004E1CB6">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1646E6">
        <w:rPr>
          <w:rFonts w:ascii="Arial" w:eastAsia="Courier New" w:hAnsi="Arial" w:cs="Arial"/>
          <w:b/>
          <w:sz w:val="22"/>
          <w:szCs w:val="22"/>
        </w:rPr>
        <w:t>Carlos José Campos</w:t>
      </w:r>
      <w:r w:rsidRPr="00F76C02">
        <w:rPr>
          <w:rFonts w:ascii="Arial" w:eastAsia="Courier New" w:hAnsi="Arial" w:cs="Arial"/>
          <w:b/>
          <w:sz w:val="22"/>
          <w:szCs w:val="22"/>
        </w:rPr>
        <w:t>,</w:t>
      </w:r>
      <w:r>
        <w:rPr>
          <w:rFonts w:ascii="Arial" w:eastAsia="Courier New" w:hAnsi="Arial" w:cs="Arial"/>
          <w:sz w:val="22"/>
          <w:szCs w:val="22"/>
        </w:rPr>
        <w:t xml:space="preserve"> brasileiro</w:t>
      </w:r>
      <w:r w:rsidRPr="00F76C02">
        <w:rPr>
          <w:rFonts w:ascii="Arial" w:eastAsia="Courier New" w:hAnsi="Arial" w:cs="Arial"/>
          <w:sz w:val="22"/>
          <w:szCs w:val="22"/>
        </w:rPr>
        <w:t>, vereador, residente n</w:t>
      </w:r>
      <w:r w:rsidR="001646E6">
        <w:rPr>
          <w:rFonts w:ascii="Arial" w:eastAsia="Courier New" w:hAnsi="Arial" w:cs="Arial"/>
          <w:sz w:val="22"/>
          <w:szCs w:val="22"/>
        </w:rPr>
        <w:t xml:space="preserve">esta cidade, portador do CPF nº </w:t>
      </w:r>
      <w:r w:rsidR="001646E6" w:rsidRPr="001646E6">
        <w:rPr>
          <w:rFonts w:ascii="Arial" w:eastAsia="Courier New" w:hAnsi="Arial" w:cs="Arial"/>
          <w:sz w:val="22"/>
          <w:szCs w:val="22"/>
        </w:rPr>
        <w:t>001.759.986-55</w:t>
      </w:r>
      <w:r>
        <w:rPr>
          <w:rFonts w:ascii="Arial" w:eastAsia="Courier New" w:hAnsi="Arial" w:cs="Arial"/>
          <w:sz w:val="22"/>
          <w:szCs w:val="22"/>
        </w:rPr>
        <w:t>, residente em Ibertioga/MG</w:t>
      </w:r>
      <w:r w:rsidRPr="00F76C02">
        <w:rPr>
          <w:rFonts w:ascii="Arial" w:eastAsia="Courier New" w:hAnsi="Arial" w:cs="Arial"/>
          <w:sz w:val="22"/>
          <w:szCs w:val="22"/>
        </w:rPr>
        <w:t>.</w:t>
      </w:r>
    </w:p>
    <w:p w14:paraId="1A5C680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60F547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75285276"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26F07506"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71C64044" w14:textId="77777777" w:rsidR="004E1CB6" w:rsidRPr="00F76C02" w:rsidRDefault="004E1CB6" w:rsidP="004E1CB6">
      <w:pPr>
        <w:tabs>
          <w:tab w:val="left" w:pos="284"/>
        </w:tabs>
        <w:jc w:val="both"/>
        <w:rPr>
          <w:rFonts w:ascii="Arial" w:hAnsi="Arial" w:cs="Arial"/>
          <w:b/>
          <w:bCs/>
          <w:sz w:val="22"/>
          <w:szCs w:val="22"/>
        </w:rPr>
      </w:pPr>
    </w:p>
    <w:p w14:paraId="5D9C6FC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557927E4" w14:textId="579D37F4"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772046">
        <w:rPr>
          <w:rFonts w:ascii="Arial" w:hAnsi="Arial" w:cs="Arial"/>
          <w:color w:val="FF0000"/>
          <w:sz w:val="22"/>
          <w:szCs w:val="22"/>
        </w:rPr>
        <w:t>5</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772046">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23FC46AC"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202FFD1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6C0D3591"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51CCF030"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3E274CA9"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4B4C677"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262E7941" w14:textId="77777777" w:rsidR="004E1CB6" w:rsidRPr="00F76C02" w:rsidRDefault="004E1CB6" w:rsidP="004E1CB6">
      <w:pPr>
        <w:tabs>
          <w:tab w:val="left" w:pos="284"/>
        </w:tabs>
        <w:jc w:val="both"/>
        <w:rPr>
          <w:rFonts w:ascii="Arial" w:eastAsia="Arial" w:hAnsi="Arial" w:cs="Arial"/>
          <w:b/>
          <w:sz w:val="22"/>
          <w:szCs w:val="22"/>
        </w:rPr>
      </w:pPr>
    </w:p>
    <w:p w14:paraId="5FEE8B0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5D587245" w14:textId="77777777" w:rsidR="004E1CB6" w:rsidRPr="00F76C02" w:rsidRDefault="004E1CB6" w:rsidP="004E1CB6">
      <w:pPr>
        <w:tabs>
          <w:tab w:val="left" w:pos="284"/>
        </w:tabs>
        <w:jc w:val="both"/>
        <w:rPr>
          <w:rFonts w:ascii="Arial" w:hAnsi="Arial" w:cs="Arial"/>
          <w:sz w:val="22"/>
          <w:szCs w:val="22"/>
        </w:rPr>
      </w:pPr>
    </w:p>
    <w:p w14:paraId="25249C0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3.1 – DO PRAZO:</w:t>
      </w:r>
    </w:p>
    <w:p w14:paraId="0882A604" w14:textId="59085C3C"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r w:rsidR="001646E6">
        <w:rPr>
          <w:rFonts w:ascii="Arial" w:hAnsi="Arial" w:cs="Arial"/>
          <w:sz w:val="22"/>
          <w:szCs w:val="22"/>
        </w:rPr>
        <w:t>, podendo ser prorrogado</w:t>
      </w:r>
      <w:r w:rsidRPr="00F76C02">
        <w:rPr>
          <w:rFonts w:ascii="Arial" w:hAnsi="Arial" w:cs="Arial"/>
          <w:sz w:val="22"/>
          <w:szCs w:val="22"/>
        </w:rPr>
        <w:t>.</w:t>
      </w:r>
    </w:p>
    <w:p w14:paraId="1727A96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79A352C"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21F6BCA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11AFA96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1B01EB3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33A99C49" w14:textId="77777777" w:rsidR="004E1CB6" w:rsidRPr="00F76C02" w:rsidRDefault="004E1CB6" w:rsidP="004E1CB6">
      <w:pPr>
        <w:tabs>
          <w:tab w:val="left" w:pos="284"/>
        </w:tabs>
        <w:jc w:val="both"/>
        <w:rPr>
          <w:rFonts w:ascii="Arial" w:hAnsi="Arial" w:cs="Arial"/>
          <w:sz w:val="22"/>
          <w:szCs w:val="22"/>
        </w:rPr>
      </w:pPr>
    </w:p>
    <w:p w14:paraId="0CDD674D"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24D0B31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7573431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61E172A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20F7DAB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5F8E6FD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7665E21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3D9ED19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10DC3E4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6C4E76F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1936087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48F096E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50D8E5B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2BF09AB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86CD33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11EF0826"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1A184B43"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310BF85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3342375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0E52888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0F4CA78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0AC3523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0234D01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3F207F6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5CC3E22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61C856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5DBE6A7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D087F9F" w14:textId="77777777" w:rsidR="004E1CB6" w:rsidRPr="00F76C02" w:rsidRDefault="004E1CB6" w:rsidP="004E1CB6">
      <w:pPr>
        <w:pStyle w:val="Default"/>
        <w:tabs>
          <w:tab w:val="left" w:pos="284"/>
        </w:tabs>
        <w:jc w:val="both"/>
        <w:rPr>
          <w:rFonts w:ascii="Arial" w:hAnsi="Arial" w:cs="Arial"/>
          <w:color w:val="auto"/>
          <w:sz w:val="22"/>
          <w:szCs w:val="22"/>
        </w:rPr>
      </w:pPr>
    </w:p>
    <w:p w14:paraId="7A14EFC5" w14:textId="77777777" w:rsidR="004E1CB6" w:rsidRPr="00F76C02" w:rsidRDefault="004E1CB6" w:rsidP="004E1CB6">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03F3FE5" w14:textId="77777777" w:rsidR="004E1CB6" w:rsidRPr="00F76C02" w:rsidRDefault="004E1CB6" w:rsidP="004E1CB6">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6582FA3F" w14:textId="77777777" w:rsidR="004E1CB6" w:rsidRPr="00F76C02" w:rsidRDefault="004E1CB6" w:rsidP="004E1CB6">
      <w:pPr>
        <w:tabs>
          <w:tab w:val="left" w:pos="284"/>
        </w:tabs>
        <w:jc w:val="both"/>
        <w:rPr>
          <w:rFonts w:ascii="Arial" w:eastAsia="Courier New" w:hAnsi="Arial" w:cs="Arial"/>
          <w:sz w:val="22"/>
          <w:szCs w:val="22"/>
        </w:rPr>
      </w:pPr>
    </w:p>
    <w:p w14:paraId="6CC73CB8"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3271460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3E980C4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6A1CC1A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6C3F3D0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1140E7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097B4FE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5AB45F7A"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54BFA50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2A27D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0746AB4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3D25DC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709BF56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A23722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2CDEF8F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010106E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1F736F9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2A8DB8B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19F54D2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729D46C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16B19A6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367C0EC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50506B3F" w14:textId="77777777" w:rsidR="004E1CB6" w:rsidRPr="00F76C02" w:rsidRDefault="004E1CB6" w:rsidP="004E1CB6">
      <w:pPr>
        <w:shd w:val="clear" w:color="auto" w:fill="FFFFFF"/>
        <w:tabs>
          <w:tab w:val="left" w:pos="284"/>
        </w:tabs>
        <w:jc w:val="both"/>
        <w:rPr>
          <w:rFonts w:ascii="Arial" w:hAnsi="Arial" w:cs="Arial"/>
          <w:color w:val="000000"/>
          <w:sz w:val="22"/>
          <w:szCs w:val="22"/>
        </w:rPr>
      </w:pPr>
    </w:p>
    <w:p w14:paraId="382F2023" w14:textId="77777777" w:rsidR="004E1CB6" w:rsidRPr="00F76C02" w:rsidRDefault="004E1CB6" w:rsidP="004E1CB6">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02F0A6CD"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653BAFE8" w14:textId="77777777" w:rsidR="004E1CB6" w:rsidRPr="00F76C02" w:rsidRDefault="004E1CB6" w:rsidP="004E1CB6">
      <w:pPr>
        <w:shd w:val="clear" w:color="auto" w:fill="FFFFFF"/>
        <w:tabs>
          <w:tab w:val="left" w:pos="284"/>
        </w:tabs>
        <w:jc w:val="both"/>
        <w:rPr>
          <w:rFonts w:ascii="Arial" w:hAnsi="Arial" w:cs="Arial"/>
          <w:b/>
          <w:sz w:val="22"/>
          <w:szCs w:val="22"/>
        </w:rPr>
      </w:pPr>
    </w:p>
    <w:p w14:paraId="3DD84248"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C739D53" w14:textId="77777777" w:rsidR="004E1CB6" w:rsidRPr="00F76C02" w:rsidRDefault="004E1CB6" w:rsidP="004E1CB6">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6A673278" w14:textId="77777777" w:rsidR="004E1CB6" w:rsidRPr="00F76C02" w:rsidRDefault="004E1CB6" w:rsidP="004E1CB6">
      <w:pPr>
        <w:tabs>
          <w:tab w:val="left" w:pos="284"/>
        </w:tabs>
        <w:jc w:val="both"/>
        <w:rPr>
          <w:rFonts w:ascii="Arial" w:hAnsi="Arial" w:cs="Arial"/>
          <w:sz w:val="22"/>
          <w:szCs w:val="22"/>
        </w:rPr>
      </w:pPr>
    </w:p>
    <w:p w14:paraId="14082413"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175CB7C2"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5B02528F"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032623ED" w14:textId="77777777" w:rsidR="004E1CB6" w:rsidRPr="00F76C02" w:rsidRDefault="004E1CB6" w:rsidP="004E1CB6">
      <w:pPr>
        <w:tabs>
          <w:tab w:val="left" w:pos="284"/>
        </w:tabs>
        <w:jc w:val="both"/>
        <w:rPr>
          <w:rFonts w:ascii="Arial" w:hAnsi="Arial" w:cs="Arial"/>
          <w:sz w:val="22"/>
          <w:szCs w:val="22"/>
        </w:rPr>
      </w:pPr>
    </w:p>
    <w:p w14:paraId="693CE4C1"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6020C004" w14:textId="77777777" w:rsidR="004E1CB6" w:rsidRPr="00F76C02" w:rsidRDefault="004E1CB6" w:rsidP="004E1CB6">
      <w:pPr>
        <w:tabs>
          <w:tab w:val="left" w:pos="284"/>
        </w:tabs>
        <w:jc w:val="both"/>
        <w:rPr>
          <w:rFonts w:ascii="Arial" w:hAnsi="Arial" w:cs="Arial"/>
          <w:sz w:val="22"/>
          <w:szCs w:val="22"/>
        </w:rPr>
      </w:pPr>
    </w:p>
    <w:p w14:paraId="63734C9E" w14:textId="77777777" w:rsidR="004E1CB6" w:rsidRPr="00F76C02" w:rsidRDefault="004E1CB6" w:rsidP="004E1CB6">
      <w:pPr>
        <w:tabs>
          <w:tab w:val="left" w:pos="284"/>
        </w:tabs>
        <w:jc w:val="both"/>
        <w:rPr>
          <w:rFonts w:ascii="Arial" w:hAnsi="Arial" w:cs="Arial"/>
          <w:sz w:val="22"/>
          <w:szCs w:val="22"/>
        </w:rPr>
      </w:pPr>
    </w:p>
    <w:p w14:paraId="594F2A34" w14:textId="3C6002F2" w:rsidR="004E1CB6" w:rsidRPr="00F76C02" w:rsidRDefault="004E1CB6" w:rsidP="004E1CB6">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772046">
        <w:rPr>
          <w:rFonts w:ascii="Arial" w:hAnsi="Arial" w:cs="Arial"/>
          <w:sz w:val="22"/>
          <w:szCs w:val="22"/>
        </w:rPr>
        <w:t>5</w:t>
      </w:r>
      <w:r w:rsidRPr="00F76C02">
        <w:rPr>
          <w:rFonts w:ascii="Arial" w:hAnsi="Arial" w:cs="Arial"/>
          <w:sz w:val="22"/>
          <w:szCs w:val="22"/>
        </w:rPr>
        <w:t>.</w:t>
      </w:r>
    </w:p>
    <w:p w14:paraId="4D1300CE" w14:textId="77777777" w:rsidR="004E1CB6" w:rsidRPr="00F76C02" w:rsidRDefault="004E1CB6" w:rsidP="004E1CB6">
      <w:pPr>
        <w:tabs>
          <w:tab w:val="left" w:pos="284"/>
        </w:tabs>
        <w:jc w:val="center"/>
        <w:rPr>
          <w:rFonts w:ascii="Arial" w:hAnsi="Arial" w:cs="Arial"/>
          <w:sz w:val="22"/>
          <w:szCs w:val="22"/>
        </w:rPr>
      </w:pPr>
    </w:p>
    <w:p w14:paraId="0240B6A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07ABDBE5" w14:textId="3BE180B4" w:rsidR="004E1CB6" w:rsidRPr="00F76C02" w:rsidRDefault="004E1CB6" w:rsidP="004E1CB6">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EA62A3">
        <w:rPr>
          <w:rFonts w:ascii="Arial" w:eastAsia="Courier New" w:hAnsi="Arial" w:cs="Arial"/>
          <w:b/>
          <w:sz w:val="22"/>
          <w:szCs w:val="22"/>
        </w:rPr>
        <w:t>Carlos José Campos</w:t>
      </w:r>
      <w:r w:rsidR="00EA62A3" w:rsidRPr="00F76C02">
        <w:rPr>
          <w:rFonts w:ascii="Arial" w:hAnsi="Arial" w:cs="Arial"/>
          <w:b/>
          <w:sz w:val="22"/>
          <w:szCs w:val="22"/>
        </w:rPr>
        <w:t xml:space="preserve"> </w:t>
      </w:r>
      <w:r w:rsidR="00EA62A3">
        <w:rPr>
          <w:rFonts w:ascii="Arial" w:hAnsi="Arial" w:cs="Arial"/>
          <w:b/>
          <w:sz w:val="22"/>
          <w:szCs w:val="22"/>
        </w:rPr>
        <w:t xml:space="preserve">                             </w:t>
      </w:r>
      <w:r w:rsidRPr="00F76C02">
        <w:rPr>
          <w:rFonts w:ascii="Arial" w:hAnsi="Arial" w:cs="Arial"/>
          <w:b/>
          <w:sz w:val="22"/>
          <w:szCs w:val="22"/>
        </w:rPr>
        <w:t>xxxxxxxxxxxx</w:t>
      </w:r>
    </w:p>
    <w:p w14:paraId="671F8EA6" w14:textId="77777777" w:rsidR="004E1CB6" w:rsidRPr="00F76C02" w:rsidRDefault="004E1CB6" w:rsidP="004E1CB6">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0B05874" w14:textId="77777777" w:rsidR="004E1CB6" w:rsidRPr="00F76C02" w:rsidRDefault="004E1CB6" w:rsidP="004E1CB6">
      <w:pPr>
        <w:tabs>
          <w:tab w:val="left" w:pos="284"/>
        </w:tabs>
        <w:jc w:val="center"/>
        <w:rPr>
          <w:rFonts w:ascii="Arial" w:hAnsi="Arial" w:cs="Arial"/>
          <w:sz w:val="22"/>
          <w:szCs w:val="22"/>
        </w:rPr>
      </w:pPr>
    </w:p>
    <w:p w14:paraId="483E22BF"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Testemunhas:</w:t>
      </w:r>
    </w:p>
    <w:p w14:paraId="12C7D39A" w14:textId="77777777" w:rsidR="004E1CB6" w:rsidRPr="00F76C02" w:rsidRDefault="004E1CB6" w:rsidP="004E1CB6">
      <w:pPr>
        <w:tabs>
          <w:tab w:val="left" w:pos="284"/>
        </w:tabs>
        <w:rPr>
          <w:rFonts w:ascii="Arial" w:hAnsi="Arial" w:cs="Arial"/>
          <w:sz w:val="22"/>
          <w:szCs w:val="22"/>
        </w:rPr>
      </w:pPr>
    </w:p>
    <w:p w14:paraId="170D8919"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_____________________________</w:t>
      </w:r>
    </w:p>
    <w:p w14:paraId="7D5148DD"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CPF:</w:t>
      </w:r>
    </w:p>
    <w:p w14:paraId="32653CBF" w14:textId="77777777" w:rsidR="004E1CB6" w:rsidRPr="00F76C02" w:rsidRDefault="004E1CB6" w:rsidP="004E1CB6">
      <w:pPr>
        <w:tabs>
          <w:tab w:val="left" w:pos="284"/>
        </w:tabs>
        <w:rPr>
          <w:rFonts w:ascii="Arial" w:hAnsi="Arial" w:cs="Arial"/>
          <w:sz w:val="22"/>
          <w:szCs w:val="22"/>
        </w:rPr>
      </w:pPr>
    </w:p>
    <w:p w14:paraId="34E7481B"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_____________________________</w:t>
      </w:r>
    </w:p>
    <w:p w14:paraId="2521B8B8" w14:textId="557939FC" w:rsidR="00F76C02" w:rsidRPr="00B44110" w:rsidRDefault="004E1CB6" w:rsidP="00EA62A3">
      <w:pPr>
        <w:tabs>
          <w:tab w:val="left" w:pos="284"/>
        </w:tabs>
        <w:rPr>
          <w:rFonts w:ascii="Arial" w:hAnsi="Arial" w:cs="Arial"/>
          <w:b/>
          <w:bCs/>
          <w:sz w:val="22"/>
          <w:szCs w:val="22"/>
          <w:lang w:val="pt"/>
        </w:rPr>
      </w:pPr>
      <w:r>
        <w:rPr>
          <w:rFonts w:ascii="Arial" w:hAnsi="Arial" w:cs="Arial"/>
          <w:sz w:val="22"/>
          <w:szCs w:val="22"/>
        </w:rPr>
        <w:t>CPF:</w:t>
      </w:r>
    </w:p>
    <w:sectPr w:rsidR="00F76C02" w:rsidRPr="00B44110" w:rsidSect="00E230B8">
      <w:headerReference w:type="default" r:id="rId9"/>
      <w:pgSz w:w="11906" w:h="16838"/>
      <w:pgMar w:top="223" w:right="1701" w:bottom="709" w:left="1560"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23EC3" w14:textId="77777777" w:rsidR="00DD34CD" w:rsidRDefault="00DD34CD">
      <w:r>
        <w:separator/>
      </w:r>
    </w:p>
  </w:endnote>
  <w:endnote w:type="continuationSeparator" w:id="0">
    <w:p w14:paraId="4F5B72DE" w14:textId="77777777" w:rsidR="00DD34CD" w:rsidRDefault="00DD3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79BF0" w14:textId="77777777" w:rsidR="00DD34CD" w:rsidRDefault="00DD34CD">
      <w:r>
        <w:separator/>
      </w:r>
    </w:p>
  </w:footnote>
  <w:footnote w:type="continuationSeparator" w:id="0">
    <w:p w14:paraId="036F0E5E" w14:textId="77777777" w:rsidR="00DD34CD" w:rsidRDefault="00DD34CD">
      <w:r>
        <w:continuationSeparator/>
      </w:r>
    </w:p>
  </w:footnote>
  <w:footnote w:id="1">
    <w:p w14:paraId="5608B0FA" w14:textId="77777777" w:rsidR="00FE7D3B" w:rsidRDefault="00FE7D3B"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FE7D3B" w:rsidRDefault="00FE7D3B"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120"/>
    </w:tblGrid>
    <w:tr w:rsidR="00FE7D3B" w:rsidRPr="008D224A" w14:paraId="37FFC846" w14:textId="77777777" w:rsidTr="005F6EA2">
      <w:trPr>
        <w:trHeight w:val="2547"/>
      </w:trPr>
      <w:tc>
        <w:tcPr>
          <w:tcW w:w="1430" w:type="dxa"/>
          <w:tcBorders>
            <w:top w:val="nil"/>
            <w:left w:val="nil"/>
            <w:bottom w:val="nil"/>
            <w:right w:val="nil"/>
          </w:tcBorders>
        </w:tcPr>
        <w:p w14:paraId="7A8C9DFB" w14:textId="77777777" w:rsidR="00FE7D3B" w:rsidRDefault="00FE7D3B" w:rsidP="0020504C">
          <w:pPr>
            <w:pStyle w:val="Cabealho"/>
            <w:ind w:left="-115"/>
          </w:pPr>
        </w:p>
        <w:p w14:paraId="7F95A51C" w14:textId="77777777" w:rsidR="00FE7D3B" w:rsidRDefault="00FE7D3B" w:rsidP="0020504C">
          <w:pPr>
            <w:pStyle w:val="Cabealho"/>
            <w:ind w:left="-115"/>
          </w:pPr>
        </w:p>
        <w:p w14:paraId="2AEC17FD" w14:textId="77777777" w:rsidR="00FE7D3B" w:rsidRDefault="00FE7D3B" w:rsidP="005F6EA2">
          <w:pPr>
            <w:pStyle w:val="Cabealho"/>
            <w:ind w:left="-115"/>
          </w:pPr>
          <w:r>
            <w:rPr>
              <w:noProof/>
            </w:rPr>
            <w:drawing>
              <wp:inline distT="0" distB="0" distL="0" distR="0" wp14:anchorId="61ACCFBE" wp14:editId="3DAAA1A9">
                <wp:extent cx="1670526" cy="1439997"/>
                <wp:effectExtent l="0" t="0" r="5874" b="7803"/>
                <wp:docPr id="2"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FE7D3B" w:rsidRDefault="00FE7D3B" w:rsidP="0020504C">
          <w:pPr>
            <w:pStyle w:val="Cabealho"/>
            <w:ind w:right="-115"/>
            <w:jc w:val="center"/>
            <w:rPr>
              <w:rFonts w:ascii="Batang" w:eastAsia="Batang" w:hAnsi="Batang" w:cs="Batang"/>
              <w:sz w:val="40"/>
              <w:szCs w:val="40"/>
            </w:rPr>
          </w:pPr>
        </w:p>
        <w:p w14:paraId="2A2E33BE" w14:textId="77777777" w:rsidR="00FE7D3B" w:rsidRDefault="00FE7D3B"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FE7D3B" w:rsidRDefault="00FE7D3B" w:rsidP="0020504C">
          <w:pPr>
            <w:pStyle w:val="Cabealho"/>
            <w:ind w:right="-115"/>
            <w:jc w:val="center"/>
          </w:pPr>
          <w:r>
            <w:t xml:space="preserve">Rua Espírito Santo, 32 – CEP: 36.225-000 Ibertioga/MG </w:t>
          </w:r>
        </w:p>
        <w:p w14:paraId="5D254030" w14:textId="77777777" w:rsidR="00FE7D3B" w:rsidRDefault="00FE7D3B" w:rsidP="0020504C">
          <w:pPr>
            <w:pStyle w:val="Cabealho"/>
            <w:ind w:right="-115"/>
            <w:jc w:val="center"/>
          </w:pPr>
          <w:r>
            <w:t>CNPJ: 26.112.722/0001-21</w:t>
          </w:r>
        </w:p>
        <w:p w14:paraId="791C5277" w14:textId="77777777" w:rsidR="00FE7D3B" w:rsidRDefault="00FE7D3B" w:rsidP="0020504C">
          <w:pPr>
            <w:pStyle w:val="Cabealho"/>
            <w:ind w:right="-115"/>
            <w:jc w:val="center"/>
          </w:pPr>
          <w:r>
            <w:t xml:space="preserve"> E-mail:cmibertioga@gmail.com</w:t>
          </w:r>
        </w:p>
        <w:p w14:paraId="4E94A80D" w14:textId="77777777" w:rsidR="00FE7D3B" w:rsidRDefault="00FE7D3B" w:rsidP="0020504C">
          <w:pPr>
            <w:pStyle w:val="Cabealho"/>
            <w:ind w:right="-115"/>
            <w:jc w:val="center"/>
          </w:pPr>
          <w:r>
            <w:t>Telefone: (032) 3347-1227</w:t>
          </w:r>
        </w:p>
      </w:tc>
    </w:tr>
  </w:tbl>
  <w:p w14:paraId="6AB2FF31" w14:textId="77777777" w:rsidR="00FE7D3B" w:rsidRDefault="00FE7D3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5"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7"/>
  </w:num>
  <w:num w:numId="4">
    <w:abstractNumId w:val="15"/>
  </w:num>
  <w:num w:numId="5">
    <w:abstractNumId w:val="18"/>
  </w:num>
  <w:num w:numId="6">
    <w:abstractNumId w:val="14"/>
  </w:num>
  <w:num w:numId="7">
    <w:abstractNumId w:val="9"/>
  </w:num>
  <w:num w:numId="8">
    <w:abstractNumId w:val="3"/>
  </w:num>
  <w:num w:numId="9">
    <w:abstractNumId w:val="10"/>
  </w:num>
  <w:num w:numId="10">
    <w:abstractNumId w:val="11"/>
  </w:num>
  <w:num w:numId="11">
    <w:abstractNumId w:val="1"/>
  </w:num>
  <w:num w:numId="12">
    <w:abstractNumId w:val="16"/>
  </w:num>
  <w:num w:numId="13">
    <w:abstractNumId w:val="4"/>
  </w:num>
  <w:num w:numId="14">
    <w:abstractNumId w:val="6"/>
  </w:num>
  <w:num w:numId="15">
    <w:abstractNumId w:val="8"/>
  </w:num>
  <w:num w:numId="16">
    <w:abstractNumId w:val="19"/>
    <w:lvlOverride w:ilvl="0">
      <w:lvl w:ilvl="0">
        <w:numFmt w:val="decimal"/>
        <w:lvlText w:val="%1."/>
        <w:lvlJc w:val="left"/>
      </w:lvl>
    </w:lvlOverride>
  </w:num>
  <w:num w:numId="17">
    <w:abstractNumId w:val="12"/>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975BB"/>
    <w:rsid w:val="000A1D78"/>
    <w:rsid w:val="0010743D"/>
    <w:rsid w:val="001646E6"/>
    <w:rsid w:val="00173BA6"/>
    <w:rsid w:val="001A6D9E"/>
    <w:rsid w:val="001E3FFD"/>
    <w:rsid w:val="0020504C"/>
    <w:rsid w:val="002227AA"/>
    <w:rsid w:val="00225F88"/>
    <w:rsid w:val="00261136"/>
    <w:rsid w:val="002616B9"/>
    <w:rsid w:val="00265B32"/>
    <w:rsid w:val="00270929"/>
    <w:rsid w:val="002C332A"/>
    <w:rsid w:val="002E15E6"/>
    <w:rsid w:val="002E7354"/>
    <w:rsid w:val="002F28F0"/>
    <w:rsid w:val="00371863"/>
    <w:rsid w:val="00376BCA"/>
    <w:rsid w:val="0038629E"/>
    <w:rsid w:val="003C3AD6"/>
    <w:rsid w:val="00450C5C"/>
    <w:rsid w:val="00457472"/>
    <w:rsid w:val="004E1CB6"/>
    <w:rsid w:val="004F6AB7"/>
    <w:rsid w:val="00542E2F"/>
    <w:rsid w:val="005517DA"/>
    <w:rsid w:val="00555E48"/>
    <w:rsid w:val="00565209"/>
    <w:rsid w:val="00573ED0"/>
    <w:rsid w:val="00591DFC"/>
    <w:rsid w:val="005A464F"/>
    <w:rsid w:val="005A4D7C"/>
    <w:rsid w:val="005A59E2"/>
    <w:rsid w:val="005A7D1D"/>
    <w:rsid w:val="005B2EA6"/>
    <w:rsid w:val="005B356A"/>
    <w:rsid w:val="005B77DA"/>
    <w:rsid w:val="005D74BF"/>
    <w:rsid w:val="005F6EA2"/>
    <w:rsid w:val="0060766A"/>
    <w:rsid w:val="006113E6"/>
    <w:rsid w:val="00621301"/>
    <w:rsid w:val="00643E90"/>
    <w:rsid w:val="00681D99"/>
    <w:rsid w:val="006B024D"/>
    <w:rsid w:val="006E476B"/>
    <w:rsid w:val="006E4AE9"/>
    <w:rsid w:val="00727063"/>
    <w:rsid w:val="007317FC"/>
    <w:rsid w:val="0076357F"/>
    <w:rsid w:val="00772046"/>
    <w:rsid w:val="00781CDF"/>
    <w:rsid w:val="00793564"/>
    <w:rsid w:val="007A14B4"/>
    <w:rsid w:val="00824B1F"/>
    <w:rsid w:val="00846455"/>
    <w:rsid w:val="00867466"/>
    <w:rsid w:val="00871E6E"/>
    <w:rsid w:val="00880AE2"/>
    <w:rsid w:val="008A14B4"/>
    <w:rsid w:val="008C6DC4"/>
    <w:rsid w:val="008D7011"/>
    <w:rsid w:val="008E57A8"/>
    <w:rsid w:val="00935009"/>
    <w:rsid w:val="00951147"/>
    <w:rsid w:val="009707E7"/>
    <w:rsid w:val="00993180"/>
    <w:rsid w:val="009A46A2"/>
    <w:rsid w:val="009B0BA9"/>
    <w:rsid w:val="009C13FB"/>
    <w:rsid w:val="00A03564"/>
    <w:rsid w:val="00A0671C"/>
    <w:rsid w:val="00A24AE8"/>
    <w:rsid w:val="00A42C20"/>
    <w:rsid w:val="00A529E4"/>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B398E"/>
    <w:rsid w:val="00BE0B16"/>
    <w:rsid w:val="00BE3F67"/>
    <w:rsid w:val="00C40480"/>
    <w:rsid w:val="00C44981"/>
    <w:rsid w:val="00C70D71"/>
    <w:rsid w:val="00CC7033"/>
    <w:rsid w:val="00CE32E5"/>
    <w:rsid w:val="00CF6F5F"/>
    <w:rsid w:val="00D43F04"/>
    <w:rsid w:val="00D66923"/>
    <w:rsid w:val="00D809FF"/>
    <w:rsid w:val="00D81C3E"/>
    <w:rsid w:val="00DD1AEF"/>
    <w:rsid w:val="00DD34CD"/>
    <w:rsid w:val="00DD73F5"/>
    <w:rsid w:val="00DE26D6"/>
    <w:rsid w:val="00E230B8"/>
    <w:rsid w:val="00E3460F"/>
    <w:rsid w:val="00E36DB5"/>
    <w:rsid w:val="00E54D46"/>
    <w:rsid w:val="00E63C98"/>
    <w:rsid w:val="00E96F5F"/>
    <w:rsid w:val="00EA62A3"/>
    <w:rsid w:val="00EB1E5E"/>
    <w:rsid w:val="00EE3B9A"/>
    <w:rsid w:val="00F31E69"/>
    <w:rsid w:val="00F34235"/>
    <w:rsid w:val="00F40C0E"/>
    <w:rsid w:val="00F51EB5"/>
    <w:rsid w:val="00F76C02"/>
    <w:rsid w:val="00F8487D"/>
    <w:rsid w:val="00FA3467"/>
    <w:rsid w:val="00FA71A6"/>
    <w:rsid w:val="00FC3417"/>
    <w:rsid w:val="00FE7D3B"/>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839992">
      <w:bodyDiv w:val="1"/>
      <w:marLeft w:val="0"/>
      <w:marRight w:val="0"/>
      <w:marTop w:val="0"/>
      <w:marBottom w:val="0"/>
      <w:divBdr>
        <w:top w:val="none" w:sz="0" w:space="0" w:color="auto"/>
        <w:left w:val="none" w:sz="0" w:space="0" w:color="auto"/>
        <w:bottom w:val="none" w:sz="0" w:space="0" w:color="auto"/>
        <w:right w:val="none" w:sz="0" w:space="0" w:color="auto"/>
      </w:divBdr>
    </w:div>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DA7C-4675-4055-A469-449E9209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21</Pages>
  <Words>7498</Words>
  <Characters>40491</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14</cp:revision>
  <cp:lastPrinted>2022-04-11T16:10:00Z</cp:lastPrinted>
  <dcterms:created xsi:type="dcterms:W3CDTF">2023-10-26T16:34:00Z</dcterms:created>
  <dcterms:modified xsi:type="dcterms:W3CDTF">2025-01-16T16:59:00Z</dcterms:modified>
</cp:coreProperties>
</file>